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0C" w:rsidRDefault="00EB690C" w:rsidP="00EB690C">
      <w:pPr>
        <w:spacing w:after="0" w:line="240" w:lineRule="auto"/>
        <w:jc w:val="center"/>
        <w:rPr>
          <w:rFonts w:ascii="Cambria" w:eastAsia="Times New Roman" w:hAnsi="Cambria" w:cs="Times New Roman"/>
          <w:b/>
          <w:sz w:val="32"/>
          <w:szCs w:val="32"/>
        </w:rPr>
      </w:pPr>
      <w:r>
        <w:rPr>
          <w:rFonts w:ascii="Cambria" w:eastAsia="Times New Roman" w:hAnsi="Cambria" w:cs="Times New Roman"/>
          <w:b/>
          <w:sz w:val="32"/>
          <w:szCs w:val="32"/>
        </w:rPr>
        <w:t>The c</w:t>
      </w:r>
      <w:r w:rsidRPr="006A3393">
        <w:rPr>
          <w:rFonts w:ascii="Cambria" w:eastAsia="Times New Roman" w:hAnsi="Cambria" w:cs="Times New Roman"/>
          <w:b/>
          <w:sz w:val="32"/>
          <w:szCs w:val="32"/>
        </w:rPr>
        <w:t>ommoning</w:t>
      </w:r>
      <w:r>
        <w:rPr>
          <w:rFonts w:ascii="Cambria" w:eastAsia="Times New Roman" w:hAnsi="Cambria" w:cs="Times New Roman"/>
          <w:b/>
          <w:sz w:val="32"/>
          <w:szCs w:val="32"/>
        </w:rPr>
        <w:t xml:space="preserve"> of medicines and w</w:t>
      </w:r>
      <w:r w:rsidRPr="006A3393">
        <w:rPr>
          <w:rFonts w:ascii="Cambria" w:eastAsia="Times New Roman" w:hAnsi="Cambria" w:cs="Times New Roman"/>
          <w:b/>
          <w:sz w:val="32"/>
          <w:szCs w:val="32"/>
        </w:rPr>
        <w:t>ater</w:t>
      </w:r>
    </w:p>
    <w:p w:rsidR="00EB690C" w:rsidRPr="006A3393" w:rsidRDefault="00EB690C" w:rsidP="00EB690C">
      <w:pPr>
        <w:spacing w:after="0" w:line="240" w:lineRule="auto"/>
        <w:jc w:val="center"/>
        <w:rPr>
          <w:rFonts w:ascii="Cambria" w:eastAsia="Times New Roman" w:hAnsi="Cambria" w:cs="Times New Roman"/>
          <w:b/>
          <w:sz w:val="32"/>
          <w:szCs w:val="32"/>
        </w:rPr>
      </w:pPr>
      <w:proofErr w:type="gramStart"/>
      <w:r>
        <w:rPr>
          <w:rFonts w:ascii="Cambria" w:eastAsia="Times New Roman" w:hAnsi="Cambria" w:cs="Times New Roman"/>
          <w:b/>
          <w:sz w:val="32"/>
          <w:szCs w:val="32"/>
        </w:rPr>
        <w:t>beyond</w:t>
      </w:r>
      <w:proofErr w:type="gramEnd"/>
      <w:r>
        <w:rPr>
          <w:rFonts w:ascii="Cambria" w:eastAsia="Times New Roman" w:hAnsi="Cambria" w:cs="Times New Roman"/>
          <w:b/>
          <w:sz w:val="32"/>
          <w:szCs w:val="32"/>
        </w:rPr>
        <w:t xml:space="preserve"> h</w:t>
      </w:r>
      <w:r w:rsidRPr="006A3393">
        <w:rPr>
          <w:rFonts w:ascii="Cambria" w:eastAsia="Times New Roman" w:hAnsi="Cambria" w:cs="Times New Roman"/>
          <w:b/>
          <w:sz w:val="32"/>
          <w:szCs w:val="32"/>
        </w:rPr>
        <w:t xml:space="preserve">uman </w:t>
      </w:r>
      <w:r>
        <w:rPr>
          <w:rFonts w:ascii="Cambria" w:eastAsia="Times New Roman" w:hAnsi="Cambria" w:cs="Times New Roman"/>
          <w:b/>
          <w:sz w:val="32"/>
          <w:szCs w:val="32"/>
        </w:rPr>
        <w:t>r</w:t>
      </w:r>
      <w:r w:rsidRPr="006A3393">
        <w:rPr>
          <w:rFonts w:ascii="Cambria" w:eastAsia="Times New Roman" w:hAnsi="Cambria" w:cs="Times New Roman"/>
          <w:b/>
          <w:sz w:val="32"/>
          <w:szCs w:val="32"/>
        </w:rPr>
        <w:t>ights</w:t>
      </w:r>
      <w:r>
        <w:rPr>
          <w:rFonts w:ascii="Cambria" w:eastAsia="Times New Roman" w:hAnsi="Cambria" w:cs="Times New Roman"/>
          <w:b/>
          <w:sz w:val="32"/>
          <w:szCs w:val="32"/>
        </w:rPr>
        <w:t xml:space="preserve"> r</w:t>
      </w:r>
      <w:r w:rsidRPr="006A3393">
        <w:rPr>
          <w:rFonts w:ascii="Cambria" w:eastAsia="Times New Roman" w:hAnsi="Cambria" w:cs="Times New Roman"/>
          <w:b/>
          <w:sz w:val="32"/>
          <w:szCs w:val="32"/>
        </w:rPr>
        <w:t>hetoric</w:t>
      </w:r>
    </w:p>
    <w:p w:rsidR="00EB690C" w:rsidRDefault="00EB690C" w:rsidP="00EB690C">
      <w:pPr>
        <w:spacing w:after="0" w:line="240" w:lineRule="auto"/>
        <w:jc w:val="center"/>
        <w:rPr>
          <w:rFonts w:ascii="Cambria" w:eastAsia="Times New Roman" w:hAnsi="Cambria" w:cs="Times New Roman"/>
          <w:sz w:val="24"/>
          <w:szCs w:val="24"/>
        </w:rPr>
      </w:pPr>
    </w:p>
    <w:p w:rsidR="00EB690C" w:rsidRDefault="00EB690C" w:rsidP="00EB690C">
      <w:pPr>
        <w:spacing w:after="0" w:line="240" w:lineRule="auto"/>
        <w:jc w:val="center"/>
        <w:rPr>
          <w:rFonts w:ascii="Cambria" w:eastAsia="Times New Roman" w:hAnsi="Cambria" w:cs="Times New Roman"/>
          <w:sz w:val="24"/>
          <w:szCs w:val="24"/>
        </w:rPr>
      </w:pPr>
      <w:proofErr w:type="gramStart"/>
      <w:r>
        <w:rPr>
          <w:rFonts w:ascii="Cambria" w:eastAsia="Times New Roman" w:hAnsi="Cambria" w:cs="Times New Roman"/>
          <w:sz w:val="24"/>
          <w:szCs w:val="24"/>
        </w:rPr>
        <w:t>by</w:t>
      </w:r>
      <w:proofErr w:type="gramEnd"/>
      <w:r>
        <w:rPr>
          <w:rFonts w:ascii="Cambria" w:eastAsia="Times New Roman" w:hAnsi="Cambria" w:cs="Times New Roman"/>
          <w:sz w:val="24"/>
          <w:szCs w:val="24"/>
        </w:rPr>
        <w:t xml:space="preserve"> Patrick Bond</w:t>
      </w:r>
    </w:p>
    <w:p w:rsidR="00EB690C" w:rsidRPr="004D46FC" w:rsidRDefault="00EB690C" w:rsidP="00EB690C">
      <w:pPr>
        <w:spacing w:after="0" w:line="240" w:lineRule="auto"/>
        <w:jc w:val="center"/>
        <w:rPr>
          <w:rFonts w:ascii="Cambria" w:hAnsi="Cambria"/>
          <w:sz w:val="24"/>
          <w:szCs w:val="24"/>
        </w:rPr>
      </w:pPr>
      <w:proofErr w:type="gramStart"/>
      <w:r>
        <w:rPr>
          <w:rFonts w:ascii="Cambria" w:eastAsia="Times New Roman" w:hAnsi="Cambria" w:cs="Times New Roman"/>
          <w:sz w:val="24"/>
          <w:szCs w:val="24"/>
        </w:rPr>
        <w:t>in</w:t>
      </w:r>
      <w:proofErr w:type="gramEnd"/>
      <w:r>
        <w:rPr>
          <w:rFonts w:ascii="Cambria" w:eastAsia="Times New Roman" w:hAnsi="Cambria" w:cs="Times New Roman"/>
          <w:sz w:val="24"/>
          <w:szCs w:val="24"/>
        </w:rPr>
        <w:t xml:space="preserve"> </w:t>
      </w:r>
      <w:r w:rsidRPr="004D46FC">
        <w:rPr>
          <w:rFonts w:ascii="Cambria" w:hAnsi="Cambria"/>
          <w:sz w:val="24"/>
          <w:szCs w:val="24"/>
        </w:rPr>
        <w:t>R</w:t>
      </w:r>
      <w:r>
        <w:rPr>
          <w:rFonts w:ascii="Cambria" w:hAnsi="Cambria"/>
          <w:sz w:val="24"/>
          <w:szCs w:val="24"/>
        </w:rPr>
        <w:t>.</w:t>
      </w:r>
      <w:r w:rsidRPr="004D46FC">
        <w:rPr>
          <w:rFonts w:ascii="Cambria" w:hAnsi="Cambria"/>
          <w:sz w:val="24"/>
          <w:szCs w:val="24"/>
        </w:rPr>
        <w:t>Westra, R</w:t>
      </w:r>
      <w:r>
        <w:rPr>
          <w:rFonts w:ascii="Cambria" w:hAnsi="Cambria"/>
          <w:sz w:val="24"/>
          <w:szCs w:val="24"/>
        </w:rPr>
        <w:t>.</w:t>
      </w:r>
      <w:r w:rsidRPr="004D46FC">
        <w:rPr>
          <w:rFonts w:ascii="Cambria" w:hAnsi="Cambria"/>
          <w:sz w:val="24"/>
          <w:szCs w:val="24"/>
        </w:rPr>
        <w:t>Albritton and S</w:t>
      </w:r>
      <w:r>
        <w:rPr>
          <w:rFonts w:ascii="Cambria" w:hAnsi="Cambria"/>
          <w:sz w:val="24"/>
          <w:szCs w:val="24"/>
        </w:rPr>
        <w:t>.</w:t>
      </w:r>
      <w:r w:rsidRPr="004D46FC">
        <w:rPr>
          <w:rFonts w:ascii="Cambria" w:hAnsi="Cambria"/>
          <w:sz w:val="24"/>
          <w:szCs w:val="24"/>
        </w:rPr>
        <w:t xml:space="preserve"> Jeong</w:t>
      </w:r>
      <w:r>
        <w:rPr>
          <w:rFonts w:ascii="Cambria" w:eastAsia="Times New Roman" w:hAnsi="Cambria" w:cs="Times New Roman"/>
          <w:sz w:val="24"/>
          <w:szCs w:val="24"/>
        </w:rPr>
        <w:t xml:space="preserve"> (Eds), </w:t>
      </w:r>
      <w:r w:rsidRPr="004D46FC">
        <w:rPr>
          <w:rFonts w:ascii="Cambria" w:hAnsi="Cambria"/>
          <w:i/>
          <w:sz w:val="24"/>
          <w:szCs w:val="24"/>
        </w:rPr>
        <w:t>Varieties of Alternative Economic Systems: Practical Utopias for an Age of Global Crisis and Austerity</w:t>
      </w:r>
      <w:r>
        <w:rPr>
          <w:rFonts w:ascii="Cambria" w:hAnsi="Cambria"/>
          <w:sz w:val="24"/>
          <w:szCs w:val="24"/>
        </w:rPr>
        <w:t>, London: PalgraveMacmillan 2017</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b/>
          <w:sz w:val="24"/>
          <w:szCs w:val="24"/>
        </w:rPr>
        <w:t>Introduction</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eastAsia="Times New Roman" w:hAnsi="Cambria" w:cs="Times New Roman"/>
          <w:sz w:val="24"/>
          <w:szCs w:val="24"/>
        </w:rPr>
      </w:pPr>
      <w:r w:rsidRPr="004D46FC">
        <w:rPr>
          <w:rFonts w:ascii="Cambria" w:eastAsia="Times New Roman" w:hAnsi="Cambria" w:cs="Times New Roman"/>
          <w:sz w:val="24"/>
          <w:szCs w:val="24"/>
        </w:rPr>
        <w:t xml:space="preserve">Can an alternative, proto-socialist economic system be built up from within the ashes of a dying system, in which the very poorest members of a society have fought back and retained access to shrinking state services on grounds not of liberal reform, but of radical non-reformist reforms? The pages below answer in the </w:t>
      </w:r>
      <w:proofErr w:type="gramStart"/>
      <w:r w:rsidRPr="004D46FC">
        <w:rPr>
          <w:rFonts w:ascii="Cambria" w:eastAsia="Times New Roman" w:hAnsi="Cambria" w:cs="Times New Roman"/>
          <w:sz w:val="24"/>
          <w:szCs w:val="24"/>
        </w:rPr>
        <w:t>affirmative,</w:t>
      </w:r>
      <w:proofErr w:type="gramEnd"/>
      <w:r w:rsidRPr="004D46FC">
        <w:rPr>
          <w:rFonts w:ascii="Cambria" w:eastAsia="Times New Roman" w:hAnsi="Cambria" w:cs="Times New Roman"/>
          <w:sz w:val="24"/>
          <w:szCs w:val="24"/>
        </w:rPr>
        <w:t xml:space="preserve"> based on social struggles within the world’s most unequal society, in campaigning areas including medicines and water which are vital for the survival of HIV+ people and low-income urban residents. The argument is that the South African activists involved inexorably worked through socio-economic ‘Rights Talk’ and discovered its limits in what is otherwise a celebrated liberal Constitution. Those limits took many of the activists forward to a different strategy, moving </w:t>
      </w:r>
      <w:r w:rsidRPr="004D46FC">
        <w:rPr>
          <w:rFonts w:ascii="Cambria" w:eastAsia="Times New Roman" w:hAnsi="Cambria" w:cs="Times New Roman"/>
          <w:i/>
          <w:sz w:val="24"/>
          <w:szCs w:val="24"/>
        </w:rPr>
        <w:t xml:space="preserve">through </w:t>
      </w:r>
      <w:r w:rsidRPr="004D46FC">
        <w:rPr>
          <w:rFonts w:ascii="Cambria" w:eastAsia="Times New Roman" w:hAnsi="Cambria" w:cs="Times New Roman"/>
          <w:sz w:val="24"/>
          <w:szCs w:val="24"/>
        </w:rPr>
        <w:t>human rights narratives and identifying commons instead. The commoning strategy presents one of the most interesting current efforts at establishing an alternative economic system, based on principles and concrete victories won, from below, in pitched battles with those who would commodify even the most basic needs.</w:t>
      </w:r>
    </w:p>
    <w:p w:rsidR="00EB690C" w:rsidRPr="004D46FC" w:rsidRDefault="00EB690C" w:rsidP="00EB690C">
      <w:pPr>
        <w:spacing w:after="0" w:line="240" w:lineRule="auto"/>
        <w:rPr>
          <w:rFonts w:ascii="Cambria" w:eastAsia="Times New Roman" w:hAnsi="Cambria" w:cs="Times New Roman"/>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 traditions involved in this kind of strategy date back centuries. UN-Habitat (2012:118), the United Nations’ Nairobi-based housing advocacy agency, issued a 2012 </w:t>
      </w:r>
      <w:r w:rsidRPr="004D46FC">
        <w:rPr>
          <w:rFonts w:ascii="Cambria" w:eastAsia="Times New Roman" w:hAnsi="Cambria" w:cs="Times New Roman"/>
          <w:i/>
          <w:sz w:val="24"/>
          <w:szCs w:val="24"/>
        </w:rPr>
        <w:t xml:space="preserve">State of the World’s Cites </w:t>
      </w:r>
      <w:r w:rsidRPr="004D46FC">
        <w:rPr>
          <w:rFonts w:ascii="Cambria" w:eastAsia="Times New Roman" w:hAnsi="Cambria" w:cs="Times New Roman"/>
          <w:sz w:val="24"/>
          <w:szCs w:val="24"/>
        </w:rPr>
        <w:t xml:space="preserve">report with language that requires thorough deliberation: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ind w:left="720" w:right="855"/>
        <w:rPr>
          <w:rFonts w:ascii="Cambria" w:hAnsi="Cambria"/>
          <w:sz w:val="24"/>
          <w:szCs w:val="24"/>
        </w:rPr>
      </w:pPr>
      <w:r w:rsidRPr="004D46FC">
        <w:rPr>
          <w:rFonts w:ascii="Cambria" w:eastAsia="Times New Roman" w:hAnsi="Cambria" w:cs="Times New Roman"/>
          <w:sz w:val="24"/>
          <w:szCs w:val="24"/>
        </w:rPr>
        <w:t xml:space="preserve">The ‘Right to the Commons’ is an ancient concept in legal jurisprudence originating in feudal England, where it referred to the extension of user rights for all on a manor’s grazing land. Lately, the notion has resurfaced in urban settings (including public goods, societal institutional arrangements, public culture, and heritage sites), where it is perceived as an effective way of countering not just rampant enclosures and appropriations, but also the rise of duality under the form of inequity and segregation. </w:t>
      </w:r>
    </w:p>
    <w:p w:rsidR="00EB690C" w:rsidRPr="004D46FC" w:rsidRDefault="00EB690C" w:rsidP="00EB690C">
      <w:pPr>
        <w:spacing w:after="0" w:line="240" w:lineRule="auto"/>
        <w:ind w:left="720" w:right="855"/>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Yet along with other UN institutions and the multilateral development banks, UN-Habitat (2012:117) remains committed to a society grounded in private property rights and accordingly, commoning can be repurposed to fit the broader neoliberal agenda by contributing to ‘balancing’ the urban capital accumulation process: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ind w:left="720" w:right="571"/>
        <w:rPr>
          <w:rFonts w:ascii="Cambria" w:hAnsi="Cambria"/>
          <w:sz w:val="24"/>
          <w:szCs w:val="24"/>
        </w:rPr>
      </w:pPr>
      <w:r w:rsidRPr="004D46FC">
        <w:rPr>
          <w:rFonts w:ascii="Cambria" w:eastAsia="Times New Roman" w:hAnsi="Cambria" w:cs="Times New Roman"/>
          <w:sz w:val="24"/>
          <w:szCs w:val="24"/>
        </w:rPr>
        <w:t xml:space="preserve">The ‘Commons’ reinforce the social function of property and that of the city as a whole, while recognizing the dynamism of private assets. Laws, regulations and institutions as factors of restraint, opportunity and action, act as the levers that can optimize the social function of property and balance it out with private rights and assets. It must be stressed here that </w:t>
      </w:r>
      <w:r w:rsidRPr="004D46FC">
        <w:rPr>
          <w:rFonts w:ascii="Cambria" w:eastAsia="Times New Roman" w:hAnsi="Cambria" w:cs="Times New Roman"/>
          <w:sz w:val="24"/>
          <w:szCs w:val="24"/>
        </w:rPr>
        <w:lastRenderedPageBreak/>
        <w:t xml:space="preserve">this social function is not about ownership rights or their transactional implications. </w:t>
      </w:r>
    </w:p>
    <w:p w:rsidR="00EB690C" w:rsidRPr="004D46FC" w:rsidRDefault="00EB690C" w:rsidP="00EB690C">
      <w:pPr>
        <w:spacing w:after="0" w:line="240" w:lineRule="auto"/>
        <w:ind w:left="720" w:right="571"/>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In South Africa and internationally, there is an emerging debate about how and </w:t>
      </w:r>
      <w:r w:rsidRPr="004D46FC">
        <w:rPr>
          <w:rFonts w:ascii="Cambria" w:eastAsia="Times New Roman" w:hAnsi="Cambria" w:cs="Times New Roman"/>
          <w:i/>
          <w:sz w:val="24"/>
          <w:szCs w:val="24"/>
        </w:rPr>
        <w:t xml:space="preserve">whether </w:t>
      </w:r>
      <w:r w:rsidRPr="004D46FC">
        <w:rPr>
          <w:rFonts w:ascii="Cambria" w:eastAsia="Times New Roman" w:hAnsi="Cambria" w:cs="Times New Roman"/>
          <w:sz w:val="24"/>
          <w:szCs w:val="24"/>
        </w:rPr>
        <w:t xml:space="preserve">to invoke ‘rights talk’—the appeal to a higher juristic source of power than standard state social policy—so that the dispossessed may gain access to greater levels of state services and subsidized goods. As a framing device, ‘Commoning’ is posed as the alternative approach and the distinctions are worth exploring (in spite of conceptual confusion introduced by the UN-Habitat authors).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Many strategists of social justice have become more familiar with the Commons idea in recent years, following the 2009 Nobel Prize in Economics awarded to the late Elinor Ostrom based on her 1990 book </w:t>
      </w:r>
      <w:proofErr w:type="gramStart"/>
      <w:r w:rsidRPr="004D46FC">
        <w:rPr>
          <w:rFonts w:ascii="Cambria" w:eastAsia="Times New Roman" w:hAnsi="Cambria" w:cs="Times New Roman"/>
          <w:i/>
          <w:sz w:val="24"/>
          <w:szCs w:val="24"/>
        </w:rPr>
        <w:t>Governing</w:t>
      </w:r>
      <w:proofErr w:type="gramEnd"/>
      <w:r w:rsidRPr="004D46FC">
        <w:rPr>
          <w:rFonts w:ascii="Cambria" w:eastAsia="Times New Roman" w:hAnsi="Cambria" w:cs="Times New Roman"/>
          <w:i/>
          <w:sz w:val="24"/>
          <w:szCs w:val="24"/>
        </w:rPr>
        <w:t xml:space="preserve"> the Commons. </w:t>
      </w:r>
      <w:r w:rsidRPr="004D46FC">
        <w:rPr>
          <w:rFonts w:ascii="Cambria" w:eastAsia="Times New Roman" w:hAnsi="Cambria" w:cs="Times New Roman"/>
          <w:sz w:val="24"/>
          <w:szCs w:val="24"/>
        </w:rPr>
        <w:t xml:space="preserve">On the left, there is awareness of the problem of Ostrom’s contradictions and ambivalences—because after all she labored as an academic within the conservative discipline of Political Science in one of the world’s most backward sites of intellectual and social solidarity, the United States, where she played a heroic role in contesting neoliberal </w:t>
      </w:r>
      <w:r w:rsidRPr="004D46FC">
        <w:rPr>
          <w:rFonts w:ascii="Cambria" w:eastAsia="Times New Roman" w:hAnsi="Cambria" w:cs="Times New Roman"/>
          <w:i/>
          <w:sz w:val="24"/>
          <w:szCs w:val="24"/>
        </w:rPr>
        <w:t xml:space="preserve">homo economicus </w:t>
      </w:r>
      <w:r w:rsidRPr="004D46FC">
        <w:rPr>
          <w:rFonts w:ascii="Cambria" w:eastAsia="Times New Roman" w:hAnsi="Cambria" w:cs="Times New Roman"/>
          <w:sz w:val="24"/>
          <w:szCs w:val="24"/>
        </w:rPr>
        <w:t>dogma, in which rational actors are merely individually self-interested. Ostrom thus was compelled to ask rather limited questions based largely on efficiency criteria, and so her legacy requires us to go ‘Beyond Ostrom’ (i.e, not ‘against’ but ‘through’). Scale is of great importance here, for the limitations of around 15,000 people served by a Commons (Ostrom’s highest level of collaboration) is obviously inadequate for the required societal-scale changes that will be required for the next mode of production, after capitalism is fully exhausted. David Harvey (2012:69) sets out the problem:</w:t>
      </w:r>
    </w:p>
    <w:p w:rsidR="00EB690C" w:rsidRPr="004D46FC" w:rsidRDefault="00EB690C" w:rsidP="00EB690C">
      <w:pPr>
        <w:spacing w:after="0" w:line="240" w:lineRule="auto"/>
        <w:ind w:firstLine="720"/>
        <w:rPr>
          <w:rFonts w:ascii="Cambria" w:hAnsi="Cambria"/>
          <w:sz w:val="24"/>
          <w:szCs w:val="24"/>
        </w:rPr>
      </w:pPr>
    </w:p>
    <w:p w:rsidR="00EB690C" w:rsidRPr="004D46FC" w:rsidRDefault="00EB690C" w:rsidP="00EB690C">
      <w:pPr>
        <w:spacing w:after="0" w:line="240" w:lineRule="auto"/>
        <w:ind w:left="720" w:right="720"/>
        <w:rPr>
          <w:rFonts w:ascii="Cambria" w:hAnsi="Cambria"/>
          <w:sz w:val="24"/>
          <w:szCs w:val="24"/>
        </w:rPr>
      </w:pPr>
      <w:r w:rsidRPr="004D46FC">
        <w:rPr>
          <w:rFonts w:ascii="Cambria" w:eastAsia="Times New Roman" w:hAnsi="Cambria" w:cs="Times New Roman"/>
          <w:sz w:val="24"/>
          <w:szCs w:val="24"/>
        </w:rPr>
        <w:t>As we ‘jump scales’ (as geographers like to put it), so the whole nature of the commons problem and the prospects of finding a solution change dramatically. What looks like a good way to resolve problems at one scale does not hold at another scale. Even worse, patently good solutions at one scale (the ‘local,’ say) do not necessarily aggregate up (or cascade down) to make for good solutions at another scale (the global, for example).</w:t>
      </w:r>
    </w:p>
    <w:p w:rsidR="00EB690C" w:rsidRPr="004D46FC" w:rsidRDefault="00EB690C" w:rsidP="00EB690C">
      <w:pPr>
        <w:spacing w:after="0" w:line="240" w:lineRule="auto"/>
        <w:ind w:left="720" w:right="72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The single most portentous site for societal reconstruction with scale politics as a central question is the giant metropolises that characterize late capitalism. There are increasing struggles for social and economic justice, as well as ecological rebalancing, going on in cities across the world. To some extent these reflect the campaigns by political forces to influence what happens in a national capital city, but in a great many sites, the catalyzing force that generates unrest is specific to the urban character of the site of struggle.</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As a result, the idea of a ‘right to the city’ as a rallying cry has gained popularity, for good reasons. It potentially offers a profound critique of neoliberal urban exclusion. The Brazilian urban left pushed hard for the idea to be officially recognized in the state’s 2001 </w:t>
      </w:r>
      <w:r w:rsidRPr="004D46FC">
        <w:rPr>
          <w:rFonts w:ascii="Cambria" w:eastAsia="Times New Roman" w:hAnsi="Cambria" w:cs="Times New Roman"/>
          <w:i/>
          <w:sz w:val="24"/>
          <w:szCs w:val="24"/>
        </w:rPr>
        <w:t>City Statute</w:t>
      </w:r>
      <w:r w:rsidRPr="004D46FC">
        <w:rPr>
          <w:rFonts w:ascii="Cambria" w:eastAsia="Times New Roman" w:hAnsi="Cambria" w:cs="Times New Roman"/>
          <w:sz w:val="24"/>
          <w:szCs w:val="24"/>
        </w:rPr>
        <w:t xml:space="preserve">. In one field especially, water and sanitation services, the right is increasingly adjudicated in courts, and South Africa has had the most advanced case to date, one that lasted from 2003–09. However, because of intrinsic liberal limitations, applying the rights talk here ended in defeat, reminding of the warning by Karen Bakker (2007:447) that a narrow juristic approach to rights can be “individualistic, anthropocentric, state-centric, and compatible with private sector provision.” Attempts </w:t>
      </w:r>
      <w:r w:rsidRPr="004D46FC">
        <w:rPr>
          <w:rFonts w:ascii="Cambria" w:eastAsia="Times New Roman" w:hAnsi="Cambria" w:cs="Times New Roman"/>
          <w:sz w:val="24"/>
          <w:szCs w:val="24"/>
        </w:rPr>
        <w:lastRenderedPageBreak/>
        <w:t>to expand liberal socio-economic rights through incremental strategies may offer victories at the margins, but some of the lessons of the 2009 defeat bear close examination in order that social movements do not make the mistake of considering rights as a foundational philosophical stance.</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Still, most urban radical activists have at some stage embraced rights talk, perhaps because there is propaganda value and mobilizing potential in accusing opponents of violating rights, and also as a result of the waning respectability of more explicitly socialist narratives. In 2004–05, the World Charter for the Right to the City (2005) was developed in Quito, Barcelona, and Porto Alegre by networks associated with the World Social Forum. To illustrate using the case of water, its twelfth article made the following points:</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ind w:left="720" w:right="720"/>
        <w:rPr>
          <w:rFonts w:ascii="Cambria" w:hAnsi="Cambria"/>
          <w:sz w:val="24"/>
          <w:szCs w:val="24"/>
        </w:rPr>
      </w:pPr>
      <w:r w:rsidRPr="004D46FC">
        <w:rPr>
          <w:rFonts w:ascii="Cambria" w:eastAsia="Times New Roman" w:hAnsi="Cambria" w:cs="Times New Roman"/>
          <w:sz w:val="24"/>
          <w:szCs w:val="24"/>
        </w:rPr>
        <w:t xml:space="preserve">RIGHT TO WATER AND TO ACCESS AND SUPPLY OF DOMESTIC AND URBAN PUBLIC SERVICES </w:t>
      </w:r>
    </w:p>
    <w:p w:rsidR="00EB690C" w:rsidRPr="004D46FC" w:rsidRDefault="00EB690C" w:rsidP="00EB690C">
      <w:pPr>
        <w:spacing w:after="0" w:line="240" w:lineRule="auto"/>
        <w:ind w:left="720" w:right="720"/>
        <w:rPr>
          <w:rFonts w:ascii="Cambria" w:hAnsi="Cambria"/>
          <w:sz w:val="24"/>
          <w:szCs w:val="24"/>
        </w:rPr>
      </w:pPr>
    </w:p>
    <w:p w:rsidR="00EB690C" w:rsidRPr="004D46FC" w:rsidRDefault="00EB690C" w:rsidP="00EB690C">
      <w:pPr>
        <w:numPr>
          <w:ilvl w:val="0"/>
          <w:numId w:val="1"/>
        </w:numPr>
        <w:spacing w:after="0" w:line="240" w:lineRule="auto"/>
        <w:ind w:left="993" w:right="720" w:hanging="283"/>
        <w:rPr>
          <w:rFonts w:ascii="Cambria" w:eastAsia="Times New Roman" w:hAnsi="Cambria" w:cs="Times New Roman"/>
          <w:sz w:val="24"/>
          <w:szCs w:val="24"/>
        </w:rPr>
      </w:pPr>
      <w:r w:rsidRPr="004D46FC">
        <w:rPr>
          <w:rFonts w:ascii="Cambria" w:eastAsia="Times New Roman" w:hAnsi="Cambria" w:cs="Times New Roman"/>
          <w:sz w:val="24"/>
          <w:szCs w:val="24"/>
        </w:rPr>
        <w:t xml:space="preserve">Cities should guarantee for all their citizens permanent access to public services of potable water, sanitation, waste removal, energy and telecommunications services, and facilities for health care, education, basic-goods supply, and recreation, in co-responsibility with other public or private bodies, in accordance with the legal framework established in international rights and by each country. </w:t>
      </w:r>
    </w:p>
    <w:p w:rsidR="00EB690C" w:rsidRPr="004D46FC" w:rsidRDefault="00EB690C" w:rsidP="00EB690C">
      <w:pPr>
        <w:spacing w:after="0" w:line="240" w:lineRule="auto"/>
        <w:ind w:left="993" w:right="720"/>
        <w:rPr>
          <w:rFonts w:ascii="Cambria" w:eastAsia="Times New Roman" w:hAnsi="Cambria" w:cs="Times New Roman"/>
          <w:sz w:val="24"/>
          <w:szCs w:val="24"/>
        </w:rPr>
      </w:pPr>
    </w:p>
    <w:p w:rsidR="00EB690C" w:rsidRPr="004D46FC" w:rsidRDefault="00EB690C" w:rsidP="00EB690C">
      <w:pPr>
        <w:numPr>
          <w:ilvl w:val="0"/>
          <w:numId w:val="1"/>
        </w:numPr>
        <w:spacing w:after="0" w:line="240" w:lineRule="auto"/>
        <w:ind w:left="993" w:right="720" w:hanging="283"/>
        <w:rPr>
          <w:rFonts w:ascii="Cambria" w:eastAsia="Times New Roman" w:hAnsi="Cambria" w:cs="Times New Roman"/>
          <w:sz w:val="24"/>
          <w:szCs w:val="24"/>
        </w:rPr>
      </w:pPr>
      <w:r w:rsidRPr="004D46FC">
        <w:rPr>
          <w:rFonts w:ascii="Cambria" w:eastAsia="Times New Roman" w:hAnsi="Cambria" w:cs="Times New Roman"/>
          <w:sz w:val="24"/>
          <w:szCs w:val="24"/>
        </w:rPr>
        <w:t xml:space="preserve">In regard to public services, cities should guarantee accessible social fees and adequate service for all persons including vulnerable persons or groups and the unemployed—even in the case of privatization of public services predating adoption of this Charter. </w:t>
      </w:r>
    </w:p>
    <w:p w:rsidR="00EB690C" w:rsidRPr="004D46FC" w:rsidRDefault="00EB690C" w:rsidP="00EB690C">
      <w:pPr>
        <w:spacing w:after="0" w:line="240" w:lineRule="auto"/>
        <w:ind w:left="993" w:right="720"/>
        <w:rPr>
          <w:rFonts w:ascii="Cambria" w:eastAsia="Times New Roman" w:hAnsi="Cambria" w:cs="Times New Roman"/>
          <w:sz w:val="24"/>
          <w:szCs w:val="24"/>
        </w:rPr>
      </w:pPr>
    </w:p>
    <w:p w:rsidR="00EB690C" w:rsidRPr="004D46FC" w:rsidRDefault="00EB690C" w:rsidP="00EB690C">
      <w:pPr>
        <w:numPr>
          <w:ilvl w:val="0"/>
          <w:numId w:val="1"/>
        </w:numPr>
        <w:spacing w:after="0" w:line="240" w:lineRule="auto"/>
        <w:ind w:left="993" w:right="720" w:hanging="283"/>
        <w:rPr>
          <w:rFonts w:ascii="Cambria" w:eastAsia="Times New Roman" w:hAnsi="Cambria" w:cs="Times New Roman"/>
          <w:sz w:val="24"/>
          <w:szCs w:val="24"/>
        </w:rPr>
      </w:pPr>
      <w:r w:rsidRPr="004D46FC">
        <w:rPr>
          <w:rFonts w:ascii="Cambria" w:eastAsia="Times New Roman" w:hAnsi="Cambria" w:cs="Times New Roman"/>
          <w:sz w:val="24"/>
          <w:szCs w:val="24"/>
        </w:rPr>
        <w:t>Cities should commit to guarantee that public services depend on the administrative level closest to the population, with citizen participation in their management and fiscal oversight. These services should remain under a legal regimen as public goods, impeding their privatization.</w:t>
      </w:r>
    </w:p>
    <w:p w:rsidR="00EB690C" w:rsidRPr="004D46FC" w:rsidRDefault="00EB690C" w:rsidP="00EB690C">
      <w:pPr>
        <w:spacing w:after="0" w:line="240" w:lineRule="auto"/>
        <w:ind w:left="993" w:right="720"/>
        <w:rPr>
          <w:rFonts w:ascii="Cambria" w:eastAsia="Times New Roman" w:hAnsi="Cambria" w:cs="Times New Roman"/>
          <w:sz w:val="24"/>
          <w:szCs w:val="24"/>
        </w:rPr>
      </w:pPr>
    </w:p>
    <w:p w:rsidR="00EB690C" w:rsidRPr="004D46FC" w:rsidRDefault="00EB690C" w:rsidP="00EB690C">
      <w:pPr>
        <w:numPr>
          <w:ilvl w:val="0"/>
          <w:numId w:val="1"/>
        </w:numPr>
        <w:spacing w:after="0" w:line="240" w:lineRule="auto"/>
        <w:ind w:left="993" w:right="720" w:hanging="283"/>
        <w:rPr>
          <w:rFonts w:ascii="Cambria" w:eastAsia="Times New Roman" w:hAnsi="Cambria" w:cs="Times New Roman"/>
          <w:sz w:val="24"/>
          <w:szCs w:val="24"/>
        </w:rPr>
      </w:pPr>
      <w:r w:rsidRPr="004D46FC">
        <w:rPr>
          <w:rFonts w:ascii="Cambria" w:eastAsia="Times New Roman" w:hAnsi="Cambria" w:cs="Times New Roman"/>
          <w:sz w:val="24"/>
          <w:szCs w:val="24"/>
        </w:rPr>
        <w:t>Cities should establish systems of social control over the quality of the services provided by public or private entities, in particular relative to quality control, cost determination, and attention to the public.</w:t>
      </w:r>
    </w:p>
    <w:p w:rsidR="00EB690C" w:rsidRPr="004D46FC" w:rsidRDefault="00EB690C" w:rsidP="00EB690C">
      <w:pPr>
        <w:spacing w:after="0" w:line="240" w:lineRule="auto"/>
        <w:ind w:left="993" w:right="720"/>
        <w:rPr>
          <w:rFonts w:ascii="Cambria" w:eastAsia="Times New Roman" w:hAnsi="Cambria" w:cs="Times New Roman"/>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Although one might argue that far too many concessions are made to water commercialization (i.e., supply by ‘private entities’), this is a reflection of the reality too many activists confront, </w:t>
      </w:r>
      <w:r w:rsidRPr="004D46FC">
        <w:rPr>
          <w:rFonts w:ascii="Cambria" w:eastAsia="Times New Roman" w:hAnsi="Cambria" w:cs="Times New Roman"/>
          <w:i/>
          <w:sz w:val="24"/>
          <w:szCs w:val="24"/>
        </w:rPr>
        <w:t>using weak liberal tools to pry concessions from neoliberal municipalities</w:t>
      </w:r>
      <w:r w:rsidRPr="004D46FC">
        <w:rPr>
          <w:rFonts w:ascii="Cambria" w:eastAsia="Times New Roman" w:hAnsi="Cambria" w:cs="Times New Roman"/>
          <w:sz w:val="24"/>
          <w:szCs w:val="24"/>
        </w:rPr>
        <w:t xml:space="preserve">. The arguments above require reforms that pay close attention to both technical and socially-just (if not necessarily ecological) considerations about water services, as well as subsidiarity and community control principles. But as part of a broader right to the city, can the right to water be recast in more radical terms set out by urban revolutionaries such as Henri Lefebvre and David Harvey?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The ‘right to the city’, in Lefebvre’s (1996:154) class-conscious understanding of community, meant that:</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ind w:left="720" w:right="720"/>
        <w:rPr>
          <w:rFonts w:ascii="Cambria" w:hAnsi="Cambria"/>
          <w:sz w:val="24"/>
          <w:szCs w:val="24"/>
        </w:rPr>
      </w:pPr>
      <w:r w:rsidRPr="004D46FC">
        <w:rPr>
          <w:rFonts w:ascii="Cambria" w:eastAsia="Times New Roman" w:hAnsi="Cambria" w:cs="Times New Roman"/>
          <w:sz w:val="24"/>
          <w:szCs w:val="24"/>
        </w:rPr>
        <w:lastRenderedPageBreak/>
        <w:t xml:space="preserve">Only groups, social classes and class fractions capable of revolutionary initiative can take over and realize to fruition solutions to urban problems. It is from these social and political forces that the renewed city will become the oeuvre. The first thing to do is to defeat currently dominant strategies and ideologies… In itself reformist, the strategy of urban renewal becomes ‘inevitably’ revolutionary, not by force of circumstance, but against the established order. Urban strategy resting on the science of the city needs a social support and political forces to be effective. It cannot act on its own. It cannot but depend on the presence and action of the working class, the only one able to put an end to a segregation directed essentially against it. Only this class, as a class, can decisively contribute to the reconstruction of centrality destroyed by a strategy of segregation found again in the menacing form of centres of decision-making. </w:t>
      </w:r>
    </w:p>
    <w:p w:rsidR="00EB690C" w:rsidRPr="004D46FC" w:rsidRDefault="00EB690C" w:rsidP="00EB690C">
      <w:pPr>
        <w:spacing w:after="0" w:line="240" w:lineRule="auto"/>
        <w:ind w:left="720" w:right="72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There is today no one ‘class’ that can destroy class segregation. Still, at a time in South Africa (and everywhere) when debate is intensifying about the alliances required to overthrow urban neoliberalism, as discussed below, we should heed Lefebvre’s suggestion about the centrality of the working class to these struggles. The broadest definition of that class is now appropriate, as contradictions within capital accumulation play out in cities, in the process generating a potentially unifying class struggle, as Harvey (2008) argues.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ind w:left="720" w:right="720"/>
        <w:rPr>
          <w:rFonts w:ascii="Cambria" w:hAnsi="Cambria"/>
          <w:sz w:val="24"/>
          <w:szCs w:val="24"/>
        </w:rPr>
      </w:pPr>
      <w:r w:rsidRPr="004D46FC">
        <w:rPr>
          <w:rFonts w:ascii="Cambria" w:eastAsia="Times New Roman" w:hAnsi="Cambria" w:cs="Times New Roman"/>
          <w:sz w:val="24"/>
          <w:szCs w:val="24"/>
        </w:rPr>
        <w:t>A process of displacement and what I call ‘accumulation by dispossession’ lie at the core of urbanization under capitalism. It is the mirror-image of capital absorption through urban redevelopment, and is giving rise to numerous conflicts over the capture of valuable land from low-income populations that may have lived there for many years… Since the urban process is a major channel of surplus use, establishing democratic management over its urban deployment constitutes the right to the city. Throughout capitalist history, some of the surplus value has been taxed, and in social-democratic phases the proportion at the state’s disposal rose significantly. The neoliberal project over the last thirty years has been oriented towards privatizing that control.</w:t>
      </w:r>
    </w:p>
    <w:p w:rsidR="00EB690C" w:rsidRPr="004D46FC" w:rsidRDefault="00EB690C" w:rsidP="00EB690C">
      <w:pPr>
        <w:spacing w:after="0" w:line="240" w:lineRule="auto"/>
        <w:ind w:left="720" w:right="72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The right to the city should therefore be deployed not foremost to backstop liberal constitutionalism, but as a vehicle for political empowerment, Harvey (2008) continues:</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ind w:left="720" w:right="720"/>
        <w:rPr>
          <w:rFonts w:ascii="Cambria" w:hAnsi="Cambria"/>
          <w:sz w:val="24"/>
          <w:szCs w:val="24"/>
        </w:rPr>
      </w:pPr>
      <w:r w:rsidRPr="004D46FC">
        <w:rPr>
          <w:rFonts w:ascii="Cambria" w:eastAsia="Times New Roman" w:hAnsi="Cambria" w:cs="Times New Roman"/>
          <w:sz w:val="24"/>
          <w:szCs w:val="24"/>
        </w:rPr>
        <w:t xml:space="preserve">One step towards unifying these struggles is to adopt the right to the city as both working slogan and political ideal, precisely because it focuses on the question of who commands the necessary connection between urbanization and surplus production and use. The democratization of that </w:t>
      </w:r>
      <w:proofErr w:type="gramStart"/>
      <w:r w:rsidRPr="004D46FC">
        <w:rPr>
          <w:rFonts w:ascii="Cambria" w:eastAsia="Times New Roman" w:hAnsi="Cambria" w:cs="Times New Roman"/>
          <w:sz w:val="24"/>
          <w:szCs w:val="24"/>
        </w:rPr>
        <w:t>right,</w:t>
      </w:r>
      <w:proofErr w:type="gramEnd"/>
      <w:r w:rsidRPr="004D46FC">
        <w:rPr>
          <w:rFonts w:ascii="Cambria" w:eastAsia="Times New Roman" w:hAnsi="Cambria" w:cs="Times New Roman"/>
          <w:sz w:val="24"/>
          <w:szCs w:val="24"/>
        </w:rPr>
        <w:t xml:space="preserve"> and the construction of a broad social movement to enforce its will is imperative if the dispossessed are to take back the control which they have for so long been denied, and if they are to institute new modes of urbanization. </w:t>
      </w:r>
    </w:p>
    <w:p w:rsidR="00EB690C" w:rsidRPr="004D46FC" w:rsidRDefault="00EB690C" w:rsidP="00EB690C">
      <w:pPr>
        <w:spacing w:after="0" w:line="240" w:lineRule="auto"/>
        <w:ind w:left="720" w:right="72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b/>
          <w:sz w:val="24"/>
          <w:szCs w:val="24"/>
        </w:rPr>
        <w:t>Rights with neoliberal and liberal framings</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lastRenderedPageBreak/>
        <w:t xml:space="preserve">Contrast such radical analysis with a near-simultaneous technicist statement—in a 2010 booklet, </w:t>
      </w:r>
      <w:r w:rsidRPr="004D46FC">
        <w:rPr>
          <w:rFonts w:ascii="Cambria" w:eastAsia="Times New Roman" w:hAnsi="Cambria" w:cs="Times New Roman"/>
          <w:i/>
          <w:sz w:val="24"/>
          <w:szCs w:val="24"/>
        </w:rPr>
        <w:t>Systems of Cities: Integrating National and Local Policies, Connecting Institutions and Infrastructure—</w:t>
      </w:r>
      <w:r w:rsidRPr="004D46FC">
        <w:rPr>
          <w:rFonts w:ascii="Cambria" w:eastAsia="Times New Roman" w:hAnsi="Cambria" w:cs="Times New Roman"/>
          <w:sz w:val="24"/>
          <w:szCs w:val="24"/>
        </w:rPr>
        <w:t>from what many consider to be the brain of urban neoliberalism, the World Bank. There is, to be sure, a confession that the neoliberal project was not successful in what the Bank had advertised since at least its 1986 New Urban Management policy (Bond 2000). The Bank (2010:24) brags that “many developing country governments and donors adopted an ‘enabling markets’ approach to housing, based on policies encouraged by the World Bank.”</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The core urban neoliberal policy strategy introduced more decisive property rights to land, cost recovery for water, electricity and municipal services, fewer subsidies within state housing institutions, and expanded mortgage credit. On the latter component, private housing finance, the Bank’s earlier “hope has been that pushing this and other aspects of the formal sector housing systems down market would eventually reach lower income households.” But it didn’t work, the Bank (2010:25) finally admitted:</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ind w:left="720" w:right="720"/>
        <w:rPr>
          <w:rFonts w:ascii="Cambria" w:hAnsi="Cambria"/>
          <w:sz w:val="24"/>
          <w:szCs w:val="24"/>
        </w:rPr>
      </w:pPr>
      <w:r w:rsidRPr="004D46FC">
        <w:rPr>
          <w:rFonts w:ascii="Cambria" w:eastAsia="Times New Roman" w:hAnsi="Cambria" w:cs="Times New Roman"/>
          <w:sz w:val="24"/>
          <w:szCs w:val="24"/>
        </w:rPr>
        <w:t xml:space="preserve">Despite some successes, affordability problems persist, and informality in the housing and land sectors abounds. By the mid-2000s, it became clear that the enabling markets approach was far too sanguine about the difficulties in creating well-functioning housing markets where everyone is adequately housed for a reasonable share of income on residential land at a reasonable price. The general principles of enabling markets are still valid, but must be combined with sensible policies and pragmatic approaches to urban planning and targeted subsidies for the urban poor… Experience suggests that only a few regulations are critical: minimum plot sizes and minimum apartment sizes, limitations on floor area ratios, zoning plans that limit the type of use and the intensity of use of urban land, and land subdivision ratios of developable and saleable land in new </w:t>
      </w:r>
      <w:proofErr w:type="gramStart"/>
      <w:r w:rsidRPr="004D46FC">
        <w:rPr>
          <w:rFonts w:ascii="Cambria" w:eastAsia="Times New Roman" w:hAnsi="Cambria" w:cs="Times New Roman"/>
          <w:sz w:val="24"/>
          <w:szCs w:val="24"/>
        </w:rPr>
        <w:t>greenfield</w:t>
      </w:r>
      <w:proofErr w:type="gramEnd"/>
      <w:r w:rsidRPr="004D46FC">
        <w:rPr>
          <w:rFonts w:ascii="Cambria" w:eastAsia="Times New Roman" w:hAnsi="Cambria" w:cs="Times New Roman"/>
          <w:sz w:val="24"/>
          <w:szCs w:val="24"/>
        </w:rPr>
        <w:t xml:space="preserve"> developments.</w:t>
      </w:r>
    </w:p>
    <w:p w:rsidR="00EB690C" w:rsidRPr="004D46FC" w:rsidRDefault="00EB690C" w:rsidP="00EB690C">
      <w:pPr>
        <w:spacing w:after="0" w:line="240" w:lineRule="auto"/>
        <w:ind w:left="720" w:right="72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Unlike Harvey, the Bank has virtually nothing at all to say about ‘human rights’ (except property rights and ‘rights of way’ for new roads and rail), and nothing at all to say about urban social movements. The closest is the document’s reference to ‘community-based organizations’ which operate in ‘partnerships’ in Jamaica and Brazil to “combine microfinance, land tenure, crime and violence prevention, investments in social infrastructure for day care, youth training, and health care with local community action and physical upgrading of slums.” Civil society in its most civilized form hence lubricates markets (even though it is evident that microfinance is replete with literally fatal flaws, such as the 250,000 debt-related farmer suicides in India </w:t>
      </w:r>
      <w:proofErr w:type="gramStart"/>
      <w:r w:rsidRPr="004D46FC">
        <w:rPr>
          <w:rFonts w:ascii="Cambria" w:eastAsia="Times New Roman" w:hAnsi="Cambria" w:cs="Times New Roman"/>
          <w:sz w:val="24"/>
          <w:szCs w:val="24"/>
        </w:rPr>
        <w:t>between 2005-10</w:t>
      </w:r>
      <w:proofErr w:type="gramEnd"/>
      <w:r w:rsidRPr="004D46FC">
        <w:rPr>
          <w:rFonts w:ascii="Cambria" w:eastAsia="Times New Roman" w:hAnsi="Cambria" w:cs="Times New Roman"/>
          <w:sz w:val="24"/>
          <w:szCs w:val="24"/>
        </w:rPr>
        <w:t>) (Bond 2011) and acts as a social safety net for when municipal states fail.</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Yet notwithstanding the confession, the Bank’s (2010:24) discursive strategy leaves states with more scope to support markets, because rapid Third World urbanization generates market failures: “The general principles of enabling markets are still valid, but must be combined with sensible policies and pragmatic approaches to urban planning and targeted subsidies for the urban poor.”</w:t>
      </w:r>
      <w:r w:rsidRPr="004D46FC">
        <w:rPr>
          <w:rFonts w:ascii="Cambria" w:eastAsia="Times New Roman" w:hAnsi="Cambria" w:cs="Times New Roman"/>
          <w:i/>
          <w:sz w:val="24"/>
          <w:szCs w:val="24"/>
        </w:rPr>
        <w:t xml:space="preserve"> </w:t>
      </w:r>
      <w:r w:rsidRPr="004D46FC">
        <w:rPr>
          <w:rFonts w:ascii="Cambria" w:eastAsia="Times New Roman" w:hAnsi="Cambria" w:cs="Times New Roman"/>
          <w:sz w:val="24"/>
          <w:szCs w:val="24"/>
        </w:rPr>
        <w:t xml:space="preserve">Recall that from the late 1980s, the World Bank had conclusively turned away from public housing and public services as central objectives of its lending and policy advice. Instead, the Bank drove its municipal partners to enhance the productivity of urban capital as it flowed through urban land </w:t>
      </w:r>
      <w:r w:rsidRPr="004D46FC">
        <w:rPr>
          <w:rFonts w:ascii="Cambria" w:eastAsia="Times New Roman" w:hAnsi="Cambria" w:cs="Times New Roman"/>
          <w:sz w:val="24"/>
          <w:szCs w:val="24"/>
        </w:rPr>
        <w:lastRenderedPageBreak/>
        <w:t xml:space="preserve">markets (now enhanced by titles and registration), through housing finance systems (featuring solely private sector delivery and an end to state subsidies), through the much-celebrated (but extremely exploitative) informal economy, through (often newly-privatized) urban services such as transport, sewage, water and even primary health care services (via intensified cost-recovery), and the like. Recall, too, the rising barriers to access associated with the 1990s turn to commercialized (sometimes privatized) urban water, electricity and transport services, and with the 2000s real estate bubble. As a result, no matter the rhetoric now favouring ‘targeted subsidies’, there are few cases where state financing has been sufficient to overcome the market-based </w:t>
      </w:r>
      <w:r w:rsidRPr="004D46FC">
        <w:rPr>
          <w:rFonts w:ascii="Cambria" w:eastAsia="Times New Roman" w:hAnsi="Cambria" w:cs="Times New Roman"/>
          <w:i/>
          <w:sz w:val="24"/>
          <w:szCs w:val="24"/>
        </w:rPr>
        <w:t>barriers</w:t>
      </w:r>
      <w:r w:rsidRPr="004D46FC">
        <w:rPr>
          <w:rFonts w:ascii="Cambria" w:eastAsia="Times New Roman" w:hAnsi="Cambria" w:cs="Times New Roman"/>
          <w:sz w:val="24"/>
          <w:szCs w:val="24"/>
        </w:rPr>
        <w:t xml:space="preserve"> to the ‘right to the city’, a point we will conclude with. </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As Erik Swyngedouw (2008:3) pointed out, the context included a general realization about the limits to commodification in the private sector, if not the World Bank:</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ind w:left="720" w:right="720"/>
        <w:rPr>
          <w:rFonts w:ascii="Cambria" w:hAnsi="Cambria"/>
          <w:sz w:val="24"/>
          <w:szCs w:val="24"/>
        </w:rPr>
      </w:pPr>
      <w:r w:rsidRPr="004D46FC">
        <w:rPr>
          <w:rFonts w:ascii="Cambria" w:eastAsia="Times New Roman" w:hAnsi="Cambria" w:cs="Times New Roman"/>
          <w:sz w:val="24"/>
          <w:szCs w:val="24"/>
        </w:rPr>
        <w:t xml:space="preserve">This seems to be the world topsy-turvy. International and national governmental agencies insist on the market and the private sector as the main conduit to cure the world water’s woes, while key private sector representatives retort that, despite great willingness to invest if the profit prospects are right, they cannot and will not take charge; the profits are just not forthcoming, the risks too high to manage, civil societies too demanding, contractual obligations too stringent, and subsidies have often been outlawed (the latter often exactly in order to produce a level playing field that permits open and fair competition). </w:t>
      </w:r>
    </w:p>
    <w:p w:rsidR="00EB690C" w:rsidRPr="004D46FC" w:rsidRDefault="00EB690C" w:rsidP="00EB690C">
      <w:pPr>
        <w:spacing w:after="0" w:line="240" w:lineRule="auto"/>
        <w:ind w:left="720" w:right="72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These contradictions were especially important where social and natural processes overlapped. During the 1990s, the ‘Integrated Water Resource Management’ perspective began to focus on the nexus of bulk supply and retail water provision—in which water becomes an economic good first and foremost—but only to a very limited extent did it link consumption processes (especially overconsumption by firms and wealthy households) to ecosystem sustainability. Hence the rights of those affected by water extraction, especially those displaced by mega-dams that supplied cities like Johannesburg, have typically been ignored.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This is where liberal rights talk appears so attractive. Since the United Nations (UN) Declaration of Human Rights, the idea that all individuals have certain basic human rights, or entitlements to political, social, or economic goods (such as food, water, etc) has become a key framework for politics and political discourse. In appealing to human rights, groups and individuals attempt to legitimize their cause, and to accuse their opponents of ‘denial of rights’. As water is essential to human life, social conflict surrounding water is now framed in terms of the ‘human right’ to water. In this ‘culture of rights’, social groups use ‘rights talk’ as a blanket justification for the provision of water; in some cases, however, even popularly elected governments dispute their exact responsibilities for water provision and management.</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During apartheid, water was a relatively low-cost luxury for white South Africans, with per capita enjoyment of home swimming pools at amongst the world’s highest levels. In contrast, black South Africans largely suffered vulnerability in urban townships and in the segregated ‘Bantustan’ system of rural homelands, which supplied male migrant workers to the white-owned mines, factories, and plantations. These rural homelands </w:t>
      </w:r>
      <w:r w:rsidRPr="004D46FC">
        <w:rPr>
          <w:rFonts w:ascii="Cambria" w:eastAsia="Times New Roman" w:hAnsi="Cambria" w:cs="Times New Roman"/>
          <w:sz w:val="24"/>
          <w:szCs w:val="24"/>
        </w:rPr>
        <w:lastRenderedPageBreak/>
        <w:t xml:space="preserve">had weak or non-existent water and irrigation infrastructures, as the apartheid government directed investment to the white-dominated cities and suburbs, and also in much more limited volumes to black urban townships.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sz w:val="24"/>
          <w:szCs w:val="24"/>
        </w:rPr>
      </w:pPr>
      <w:r w:rsidRPr="004D46FC">
        <w:rPr>
          <w:rFonts w:ascii="Cambria" w:eastAsia="Times New Roman" w:hAnsi="Cambria" w:cs="Times New Roman"/>
          <w:sz w:val="24"/>
          <w:szCs w:val="24"/>
        </w:rPr>
        <w:t xml:space="preserve">After 1994, racial apartheid ended, but South Africa immediately confronted international trends endorsing municipal cost-recovery, commercialization (in which state agencies converted water into a commodity that must be purchased at the cost of production), and even the prospect of long-term municipal water management contracts roughly equivalent to privatization. At the same time, across the world, commercialization of water was being introduced so as to address classic problems associated with state control: inefficiencies, excessive administrative centralization, lack of competition, unaccounted-for-consumption, </w:t>
      </w:r>
      <w:proofErr w:type="gramStart"/>
      <w:r w:rsidRPr="004D46FC">
        <w:rPr>
          <w:rFonts w:ascii="Cambria" w:eastAsia="Times New Roman" w:hAnsi="Cambria" w:cs="Times New Roman"/>
          <w:sz w:val="24"/>
          <w:szCs w:val="24"/>
        </w:rPr>
        <w:t>weak</w:t>
      </w:r>
      <w:proofErr w:type="gramEnd"/>
      <w:r w:rsidRPr="004D46FC">
        <w:rPr>
          <w:rFonts w:ascii="Cambria" w:eastAsia="Times New Roman" w:hAnsi="Cambria" w:cs="Times New Roman"/>
          <w:sz w:val="24"/>
          <w:szCs w:val="24"/>
        </w:rPr>
        <w:t xml:space="preserve"> billing and political interference. </w:t>
      </w: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sz w:val="24"/>
          <w:szCs w:val="24"/>
        </w:rPr>
      </w:pP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sz w:val="24"/>
          <w:szCs w:val="24"/>
        </w:rPr>
      </w:pPr>
      <w:r w:rsidRPr="004D46FC">
        <w:rPr>
          <w:rFonts w:ascii="Cambria" w:eastAsia="Times New Roman" w:hAnsi="Cambria" w:cs="Times New Roman"/>
          <w:sz w:val="24"/>
          <w:szCs w:val="24"/>
        </w:rPr>
        <w:t xml:space="preserve">Across a broad spectrum, the commercialization options have included private outsourcing and the management or partial/full ownership of the service. At least seven institutional steps can be taken towards privatization: short-term service contracts, short/medium-term management contracts, medium/long-term leases, long-term concessions, long-term Build (Own) Operate Transfer contracts, full permanent divestiture, and an additional category of community provision which also exists in some settings. Aside from French and British water corporations, the most aggressive promoters of these strategies are a few giant aid agencies, especially USAID, the British Department for International Development, and the World Bank. As a result of pressure to commercialize, water was soon priced beyond the reach of many poor South African households, by 2003 resulting in an estimated 1.5-million people disconnected each year due to inability to pay (Muller 2004). </w:t>
      </w: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sz w:val="24"/>
          <w:szCs w:val="24"/>
        </w:rPr>
      </w:pP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sz w:val="24"/>
          <w:szCs w:val="24"/>
        </w:rPr>
      </w:pPr>
      <w:r w:rsidRPr="004D46FC">
        <w:rPr>
          <w:rFonts w:ascii="Cambria" w:eastAsia="Times New Roman" w:hAnsi="Cambria" w:cs="Times New Roman"/>
          <w:sz w:val="24"/>
          <w:szCs w:val="24"/>
        </w:rPr>
        <w:t xml:space="preserve">The South African Constitution, however, included socio-economic clauses meant to do away with the injustices of apartheid, including, ‘Everyone has the right to have access to sufficient food and water’ and ‘Everyone has the right to an environment that is not harmful to their health or well-being’ (Republic of South Africa, 1996, s27(1)(b)). The Water Services Act 108 of 1997 put these sentiments into law as ‘the main object’: ‘the right of access to basic water supply and the right to basic sanitation necessary to secure sufficient water and an environment not harmful to human health or well-being’ (Republic of South Africa, 1997, s2(a)). Grassroots water activists seized on these guarantees to clean water and their discourses soon invoked rights talk. They insisted upon a social entitlement to an acceptable supply of clean water, amounting to at least 50 litres supplied per person per day, delivered via a metering system based on credit, not ‘pre-payment’. </w:t>
      </w: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sz w:val="24"/>
          <w:szCs w:val="24"/>
        </w:rPr>
      </w:pP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sz w:val="24"/>
          <w:szCs w:val="24"/>
        </w:rPr>
      </w:pPr>
      <w:r w:rsidRPr="004D46FC">
        <w:rPr>
          <w:rFonts w:ascii="Cambria" w:eastAsia="Times New Roman" w:hAnsi="Cambria" w:cs="Times New Roman"/>
          <w:sz w:val="24"/>
          <w:szCs w:val="24"/>
        </w:rPr>
        <w:t>The surge in confidence felt by radicals when invoking the liberal rights narrative left their neoliberal critics bemoaning a new ‘culture of entitlement’ in which the government was expected to solve all social ills. As Lungile Madywabe (2005) of the (pro-market) Helen Suzman Foundation put it:</w:t>
      </w: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Cambria" w:hAnsi="Cambria"/>
          <w:sz w:val="24"/>
          <w:szCs w:val="24"/>
        </w:rPr>
      </w:pP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Cambria" w:hAnsi="Cambria"/>
          <w:sz w:val="24"/>
          <w:szCs w:val="24"/>
        </w:rPr>
      </w:pPr>
      <w:r w:rsidRPr="004D46FC">
        <w:rPr>
          <w:rFonts w:ascii="Cambria" w:eastAsia="Times New Roman" w:hAnsi="Cambria" w:cs="Times New Roman"/>
          <w:sz w:val="24"/>
          <w:szCs w:val="24"/>
        </w:rPr>
        <w:t xml:space="preserve">Cynics fear that a culture of entitlement is growing. But the left finds such statements insulting and dehumanizing, and argues that it is crass to suggest that people are unwilling to pay for services when unemployment exceeds 40 per cent … A turning point in the African National Congress </w:t>
      </w:r>
      <w:r w:rsidRPr="004D46FC">
        <w:rPr>
          <w:rFonts w:ascii="Cambria" w:eastAsia="Times New Roman" w:hAnsi="Cambria" w:cs="Times New Roman"/>
          <w:sz w:val="24"/>
          <w:szCs w:val="24"/>
        </w:rPr>
        <w:lastRenderedPageBreak/>
        <w:t>government’s thinking came in 1995, when Nelson Mandela returned from Europe and spoke in favour of privatization.</w:t>
      </w:r>
    </w:p>
    <w:p w:rsidR="00EB690C" w:rsidRPr="004D46FC"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 commercialization of water was viewed with great enthusiasm by the new South African government. In South Africa, the shift to a market-based system of water access has been protested in various ways, including informal/illegal reconnections to official water supplies, destruction of prepayment meters, and even a constitutional challenge over water services in Soweto. While such protests confront powerful commercial interests, they attempt to shift policy from market-based approaches to those more conducive to ‘social justice’. Nevertheless, this article draws on the 2008 to 2009 courtroom dramas to argue that a rights discourse has significant limitations so long as it remains primarily focused on the social domain.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 objective of those promoting water rights should be to make water primarily an eco-social rather than a commercial good. Including eco-systemic processes in discussions of water rights potentially links consumption processes (including over-consumption by firms, farms and wealthy households) to environmental sustainability. However, the lawyers developing strategy in the seminal </w:t>
      </w:r>
      <w:r w:rsidRPr="004D46FC">
        <w:rPr>
          <w:rFonts w:ascii="Cambria" w:eastAsia="Times New Roman" w:hAnsi="Cambria" w:cs="Times New Roman"/>
          <w:i/>
          <w:sz w:val="24"/>
          <w:szCs w:val="24"/>
        </w:rPr>
        <w:t xml:space="preserve">Mazibuko v Johannesburg Water </w:t>
      </w:r>
      <w:r w:rsidRPr="004D46FC">
        <w:rPr>
          <w:rFonts w:ascii="Cambria" w:eastAsia="Times New Roman" w:hAnsi="Cambria" w:cs="Times New Roman"/>
          <w:sz w:val="24"/>
          <w:szCs w:val="24"/>
        </w:rPr>
        <w:t>case (discussed below) decided to maintain only the narrowest perspective of household water usage, since to link with other issues would have complicated the simple requests for relief. Hence, given the lawyers’ defeat, the most fruitful strategic approach may be to move beyond the ‘rights’ of consumption to reinstate a notion of the Commons which includes the broader hydropolitical systems in which water extraction, production, distribution, financing, consumption and disposal occur.</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The judges’ wariness of supporting social movements requesting even basic civil and political rights was on display on Human Rights Day, 21 March 2004. Just before the grand opening of the Constitutional Court’s new building in central Johannesburg, at the site of the old Fort Prison where Nelson Mandela had been incarcerated, community activists in the Anti-Privatization Forum (APF) called a march to demand their rights to water. They were specifically protesting against the installation of pre-paid water meters in Soweto by the French company Suez, which was running the city’s outsourced water company. City officials banned the peaceful protest on grounds of potential traffic disturbances—on a Sunday. The police arrested fifty-two activists and bystanders, some simply because they were wearing red shirts, and blocked travel of APF buses into Johannesburg. Neither the judges nor Mbeki—who attended the opening ceremony—uttered a word in the protesters’ defence, revealing the true extent of their underlying regard for civil and political rights.</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 xml:space="preserve">The country’s highest court had by then heard several major cases on socio-economic rights. The first, in 1997, led to the death of a man, 41-year old Thiagraj Subramoney, who was denied renal kidney dialysis treatment because the judges deemed it too expensive. Inspired by the Constitution, Subramoney and his lawyers had insisted that ‘No one may be refused emergency medical treatment’ and that ‘Everyone has the right to life.’ Chief Justice Arthur Chaskalson replied, “The obligations imposed on the state by sections 26 and 27 in regard to access to housing, health care, food, water and social security are dependent upon the resources available for such purposes, and that the corresponding rights themselves are limited by reason of the lack of resources” (Soobramoney v Minister of Health (Kwazulu-Natal), 1997). The South African state was </w:t>
      </w:r>
      <w:r w:rsidRPr="004D46FC">
        <w:rPr>
          <w:rFonts w:ascii="Cambria" w:eastAsia="Times New Roman" w:hAnsi="Cambria" w:cs="Times New Roman"/>
          <w:sz w:val="24"/>
          <w:szCs w:val="24"/>
        </w:rPr>
        <w:lastRenderedPageBreak/>
        <w:t>in the process of repaying illegitimate apartheid debt ($25 billion) and cutting the corporate tax rate from 48 to 28 percent, which escaped Chaskalson’s notice. The day after the ruling, Subramoney’s plug was pulled and he died.</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360"/>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 xml:space="preserve">The next high-profile Constitutional Court case on socio-economic rights was over emergency municipal services, in a lawsuit brought by plaintiff Irene Grootboom in her Cape Town ghetto of Wallacedene. Although she won, the outcome was not positive, for the Court decided simply that the 1994 </w:t>
      </w:r>
      <w:r w:rsidRPr="004D46FC">
        <w:rPr>
          <w:rFonts w:ascii="Cambria" w:eastAsia="Times New Roman" w:hAnsi="Cambria" w:cs="Times New Roman"/>
          <w:i/>
          <w:sz w:val="24"/>
          <w:szCs w:val="24"/>
        </w:rPr>
        <w:t xml:space="preserve">Housing White Paper </w:t>
      </w:r>
      <w:r w:rsidRPr="004D46FC">
        <w:rPr>
          <w:rFonts w:ascii="Cambria" w:eastAsia="Times New Roman" w:hAnsi="Cambria" w:cs="Times New Roman"/>
          <w:sz w:val="24"/>
          <w:szCs w:val="24"/>
        </w:rPr>
        <w:t>that was Housing Minister Joe Slovo’s last major initiative before he died of cancer in 1994 was unconstitutional for not considering the needs of poor people. That document had as its main priority the ‘normalization of the market’ for housing in townships. By 2000, when the Grootboom case went to the Constitutional Court, the Slovo policy had left national, provincial, and municipal housing authorities without a mandate and plan to supply emergency housing and associated services.</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360"/>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 xml:space="preserve">The Court’s decision was, however, merely ‘negative’, for it slapped down existing policy for failing to meet constitutional standards. But the Court did not have the courage and self-mandate to prescribe the policies and practices that </w:t>
      </w:r>
      <w:r w:rsidRPr="004D46FC">
        <w:rPr>
          <w:rFonts w:ascii="Cambria" w:eastAsia="Times New Roman" w:hAnsi="Cambria" w:cs="Times New Roman"/>
          <w:i/>
          <w:sz w:val="24"/>
          <w:szCs w:val="24"/>
        </w:rPr>
        <w:t xml:space="preserve">would </w:t>
      </w:r>
      <w:r w:rsidRPr="004D46FC">
        <w:rPr>
          <w:rFonts w:ascii="Cambria" w:eastAsia="Times New Roman" w:hAnsi="Cambria" w:cs="Times New Roman"/>
          <w:sz w:val="24"/>
          <w:szCs w:val="24"/>
        </w:rPr>
        <w:t xml:space="preserve">be considered of minimal acceptability. As a result, Grootboom and her community remained as destitute as ever, and by 2008, it was tragic yet also logical to read the headline, ‘Grootboom dies homeless and penniless,’ according to Pearlie Joubert (2008) in the </w:t>
      </w:r>
      <w:r w:rsidRPr="004D46FC">
        <w:rPr>
          <w:rFonts w:ascii="Cambria" w:eastAsia="Times New Roman" w:hAnsi="Cambria" w:cs="Times New Roman"/>
          <w:i/>
          <w:sz w:val="24"/>
          <w:szCs w:val="24"/>
        </w:rPr>
        <w:t>Mail &amp; Guardian</w:t>
      </w:r>
      <w:r w:rsidRPr="004D46FC">
        <w:rPr>
          <w:rFonts w:ascii="Cambria" w:eastAsia="Times New Roman" w:hAnsi="Cambria" w:cs="Times New Roman"/>
          <w:sz w:val="24"/>
          <w:szCs w:val="24"/>
        </w:rPr>
        <w:t>:</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360"/>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ight="720"/>
        <w:rPr>
          <w:rFonts w:ascii="Cambria" w:hAnsi="Cambria"/>
          <w:sz w:val="24"/>
          <w:szCs w:val="24"/>
        </w:rPr>
      </w:pPr>
      <w:r w:rsidRPr="004D46FC">
        <w:rPr>
          <w:rFonts w:ascii="Cambria" w:eastAsia="Times New Roman" w:hAnsi="Cambria" w:cs="Times New Roman"/>
          <w:sz w:val="24"/>
          <w:szCs w:val="24"/>
        </w:rPr>
        <w:t>Judge Richard Goldstone, a Constitutional Court judge at the time of the hearing, described the Grootboom judgement as unique, saying it will be remembered as “the first building block in creating a jurisprudence of socio-economic rights.” Grootboom’s victory gave legal muscle to the poorest of the poor and has been studied around the world. Her legal representative at the time, Ismail Jamie, said the Grootboom decision was “undoubtedly one of the two or three most important judgements the Constitutional Court has made since its inception.” This week Jamie said that Grootboom’s death “and the fact that she died homeless shows how the legal system and civil society failed her. I am sorry that we didn’t do enough following-up after judgment was given in her favour. We should’ve done more. I feel a deep regret today,” he said.</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ight="720"/>
        <w:rPr>
          <w:rFonts w:ascii="Cambria" w:hAnsi="Cambria"/>
          <w:sz w:val="24"/>
          <w:szCs w:val="24"/>
        </w:rPr>
      </w:pPr>
    </w:p>
    <w:p w:rsidR="00EB690C" w:rsidRPr="004D46FC" w:rsidRDefault="00EB690C" w:rsidP="00EB690C">
      <w:pPr>
        <w:tabs>
          <w:tab w:val="left" w:pos="-720"/>
          <w:tab w:val="left" w:pos="560"/>
          <w:tab w:val="left" w:pos="720"/>
          <w:tab w:val="left" w:pos="1440"/>
        </w:tabs>
        <w:spacing w:after="0" w:line="240" w:lineRule="auto"/>
        <w:ind w:right="94"/>
        <w:rPr>
          <w:rFonts w:ascii="Cambria" w:hAnsi="Cambria"/>
          <w:sz w:val="24"/>
          <w:szCs w:val="24"/>
        </w:rPr>
      </w:pPr>
      <w:r w:rsidRPr="004D46FC">
        <w:rPr>
          <w:rFonts w:ascii="Cambria" w:eastAsia="Times New Roman" w:hAnsi="Cambria" w:cs="Times New Roman"/>
          <w:sz w:val="24"/>
          <w:szCs w:val="24"/>
        </w:rPr>
        <w:t xml:space="preserve">The third high-profile case was more encouraging. In 2001 the Treatment Action Campaign (TAC) insisted that the drug nevirapine be offered to HIV-positive women who were pregnant in order to prevent transmission of the virus to their children. Recall that a year earlier, Mbeki spokesperson Parks Mankahlana had explained the state’s reluctance in an interview with </w:t>
      </w:r>
      <w:r w:rsidRPr="004D46FC">
        <w:rPr>
          <w:rFonts w:ascii="Cambria" w:eastAsia="Times New Roman" w:hAnsi="Cambria" w:cs="Times New Roman"/>
          <w:i/>
          <w:sz w:val="24"/>
          <w:szCs w:val="24"/>
        </w:rPr>
        <w:t xml:space="preserve">Science </w:t>
      </w:r>
      <w:r w:rsidRPr="004D46FC">
        <w:rPr>
          <w:rFonts w:ascii="Cambria" w:eastAsia="Times New Roman" w:hAnsi="Cambria" w:cs="Times New Roman"/>
          <w:sz w:val="24"/>
          <w:szCs w:val="24"/>
        </w:rPr>
        <w:t xml:space="preserve">magazine in cost-benefit terms, essentially arguing that refusing to supply nevirapine was logical in terms of saving state resources. The callous nature of his cost-benefit analysis was confirmed by state AIDS policies, often termed by critics as being basically ‘denialist’. The result, according to Harvard School of Public Health researchers: “More than 330,000 people died prematurely from HIV/AIDS between 2000 and 2005 due to the Mbeki government’s obstruction of life-saving treatment, and at least 35,000 babies were born with HIV infections that could have been prevented” (Roeder 2009). The word for this scale of death, genocide, was used to describe Mbeki’s policies by the then-president of the Medical Research Council Malegapuru Makgoba, by leader of the SA Medical </w:t>
      </w:r>
      <w:r w:rsidRPr="004D46FC">
        <w:rPr>
          <w:rFonts w:ascii="Cambria" w:eastAsia="Times New Roman" w:hAnsi="Cambria" w:cs="Times New Roman"/>
          <w:sz w:val="24"/>
          <w:szCs w:val="24"/>
        </w:rPr>
        <w:lastRenderedPageBreak/>
        <w:t>Association Kgosi Letlape, by Pan Africanist Congress health desk secretary Costa Gazi, by leading public intellectual Sipho Seepe, by Young Communist League of SA leader Buti Manamela, and by others.</w:t>
      </w:r>
    </w:p>
    <w:p w:rsidR="00EB690C" w:rsidRPr="004D46FC" w:rsidRDefault="00EB690C" w:rsidP="00EB690C">
      <w:pPr>
        <w:tabs>
          <w:tab w:val="left" w:pos="-720"/>
          <w:tab w:val="left" w:pos="560"/>
          <w:tab w:val="left" w:pos="720"/>
          <w:tab w:val="left" w:pos="1440"/>
        </w:tabs>
        <w:spacing w:after="0" w:line="240" w:lineRule="auto"/>
        <w:ind w:right="94"/>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In its mid-2002 judgment, the Constitutional Court criticized the state: “The policy of confining nevirapine to research and training sites fails to address the needs of mothers and their newborn children who do not have access to these sites. It fails to distinguish between the evaluation of programmes for reducing mother-to-child transmission and the need to provide access to health care services required by those who do not have access to the sites.” One of the lawyers on the successful case, Geoff Budlender (2002), observed that this victory “was simply the conclusion of a battle that TAC had already won outside the courts, but with the skilful use of the courts as part of a broader struggle.” As argued below, the lessons learned from the TAC struggle are vital to further political development in South Africa, with or without constitutional components.</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 xml:space="preserve">However, the limits of rights talk became evident in the fourth of the highest profile socio-economic rights cases, over the right to water. Activists in the Phiri neighbourhood of Soweto insisted upon a social entitlement to an acceptable supply of clean water, amounting to at least 50 liters per person per day and delivered via a metering system based on credit and not pre-payment meters. In October 2009, the Constitutional Court overturned a seminal finding in lower courts that human rights activists had hoped would substantially expand water access to poor people: </w:t>
      </w:r>
      <w:r w:rsidRPr="004D46FC">
        <w:rPr>
          <w:rFonts w:ascii="Cambria" w:eastAsia="Times New Roman" w:hAnsi="Cambria" w:cs="Times New Roman"/>
          <w:i/>
          <w:sz w:val="24"/>
          <w:szCs w:val="24"/>
        </w:rPr>
        <w:t xml:space="preserve">Mazibuko et al v Johannesburg Water. </w:t>
      </w:r>
      <w:r w:rsidRPr="004D46FC">
        <w:rPr>
          <w:rFonts w:ascii="Cambria" w:eastAsia="Times New Roman" w:hAnsi="Cambria" w:cs="Times New Roman"/>
          <w:sz w:val="24"/>
          <w:szCs w:val="24"/>
        </w:rPr>
        <w:t>In the first ruling, Johannesburg High Court Judge Moroa Tsoka had found that prepayment meters were “unconstitutional and unlawful,” and ordered the city to provide each applicant and other residents with a “free basic water supply of 50 litres per person per day and the option of a metered supply installed at the cost of the City of Johannesburg.” Tsoka accused city officials of racism for imposing credit control via prepayment “in the historically poor black areas and not the historically rich white areas.” He noted that meter installation apparently occurred “in terms of colour or geographical area.” It was the first South African case to adjudicate the constitutional right of access to sufficient water (Bond and Dugard 2008).</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Johannesburg’s appeal was also joined by the national water ministry, and was based on the decision by Johannesburg officials, just a few weeks prior to Judge Tsoka’s decision, to retract the ANC promise of universal free basic water service. In the 2000 municipal election campaign, the ANC’s statement had been clear: “The ANC-led local government will provide all residents with a free basic amount of water, electricity and other municipal services so as to help the poor. Those who use more than the basic amounts will pay for the extra they use.” Initially, Johannesburg Water officials reinterpreted the ‘right to water’ mandate regressively by adopting a relatively steep-rising tariff curve. In this fee structure, all households received 6,000 liters per month for free, but were then faced with a much higher second block (i.e., the curve was convex-up), in contrast to a concave-up curve starting with a larger lifeline block, which would have better served the interests of lower-income residents. The dramatic increase in their per-unit charges in the second block meant that for many poor people there was no meaningful difference to their average monthly bills even after the first free 6kl. Moreover, the marginal tariff for industrial/commercial users of water, while higher than residential, actually declined after large-volume consumption was reached.</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What is the impact of these kinds of water price increases on consumption? The ‘price elasticity’—the negative impact of a price increase on consumption—for Durban was measured during the doubling of the real (after-inflation) water price from 1997–2004. For rich people, the price hike resulted in less than a 10 percent reduction in use. In contrast, the impact of higher prices was mainly felt by low-income people (the bottom one third of Durban’s bill-paying residents, in one study), who recorded a very high 0.55 price elasticity, compared to just 0.10 for the highest-income third of the population (Bailey and Buckley 2005). Johannesburg and other cities’ data are not available but there is no reason to suspect the figures would be much different, and international evidence also bears out the excessive impact of high prices on poor people’s consumption. Hence, ironically, as the ‘right to water’ was fulfilled through Free Basic Water, the result of price changes at higher blocks in Durban and Johannesburg was further water deprivation for the poor alongside increasing consumption in the wealthier suburbs—with this in turn creating demand for more bulk water supply projects (including another Lesotho Highlands Water Project dam) which would then have to be paid for by all groups, and which would have major environmental impacts.</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 xml:space="preserve">Resistance strategies and tactics developed over time. Activists attempted to evolve what was already a popular township survival tactic on diverse fronts—illicitly reconnecting power once it was disconnected by state officials due to nonpayment for example (in 2001, 13 percent of Gauteng’s connections were illegal)—to a more general strategy. Thus socialist, but bottom-up, ideological statements of self-empowerment were regularly made by the APF and member organizations such as the Soweto Electricity Crisis Committee. Indeed, within a few months of Johannesburg Water’s official commercialization in 2000, the APF had united nearly two dozen community groups across Gauteng, sponsoring periodic mass marches of workers and residents. And the APF was also the core activist group in the Coalition </w:t>
      </w:r>
      <w:proofErr w:type="gramStart"/>
      <w:r w:rsidRPr="004D46FC">
        <w:rPr>
          <w:rFonts w:ascii="Cambria" w:eastAsia="Times New Roman" w:hAnsi="Cambria" w:cs="Times New Roman"/>
          <w:sz w:val="24"/>
          <w:szCs w:val="24"/>
        </w:rPr>
        <w:t>Against</w:t>
      </w:r>
      <w:proofErr w:type="gramEnd"/>
      <w:r w:rsidRPr="004D46FC">
        <w:rPr>
          <w:rFonts w:ascii="Cambria" w:eastAsia="Times New Roman" w:hAnsi="Cambria" w:cs="Times New Roman"/>
          <w:sz w:val="24"/>
          <w:szCs w:val="24"/>
        </w:rPr>
        <w:t xml:space="preserve"> Water Privatization, which supported the Phiri complainants in a court process that lasted from 2003 through 2009.</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eastAsia="Times New Roman" w:hAnsi="Cambria" w:cs="Times New Roman"/>
          <w:sz w:val="24"/>
          <w:szCs w:val="24"/>
        </w:rPr>
      </w:pPr>
      <w:r w:rsidRPr="004D46FC">
        <w:rPr>
          <w:rFonts w:ascii="Cambria" w:eastAsia="Times New Roman" w:hAnsi="Cambria" w:cs="Times New Roman"/>
          <w:sz w:val="24"/>
          <w:szCs w:val="24"/>
        </w:rPr>
        <w:t xml:space="preserve">The Constitutional Court’s October 2009 ruling, however, vindicated Johannesburg Water, affirming that the original amount of 25 liters per person per day plus pre-payment meters were ‘reasonable and lawful’ because self-disconnections were only a ‘discontinuation’, not a denial of water services: ‘The water supply does not cease to exist when a pre-paid meter temporarily stops the supply of water. It is suspended until either the customer purchases further credit or the new month commences with a new monthly basic water supply whereupon the water supply recommences. </w:t>
      </w:r>
      <w:proofErr w:type="gramStart"/>
      <w:r w:rsidRPr="004D46FC">
        <w:rPr>
          <w:rFonts w:ascii="Cambria" w:eastAsia="Times New Roman" w:hAnsi="Cambria" w:cs="Times New Roman"/>
          <w:sz w:val="24"/>
          <w:szCs w:val="24"/>
        </w:rPr>
        <w:t>It is better understood as a temporary suspension in supply, not a discontinuation’ (</w:t>
      </w:r>
      <w:r w:rsidRPr="004D46FC">
        <w:rPr>
          <w:rFonts w:ascii="Cambria" w:eastAsia="Times New Roman" w:hAnsi="Cambria" w:cs="Times New Roman"/>
          <w:i/>
          <w:sz w:val="24"/>
          <w:szCs w:val="24"/>
        </w:rPr>
        <w:t xml:space="preserve">Mazibuko et al v Johannesburg Water, </w:t>
      </w:r>
      <w:r w:rsidRPr="004D46FC">
        <w:rPr>
          <w:rFonts w:ascii="Cambria" w:eastAsia="Times New Roman" w:hAnsi="Cambria" w:cs="Times New Roman"/>
          <w:sz w:val="24"/>
          <w:szCs w:val="24"/>
        </w:rPr>
        <w:t>2009).</w:t>
      </w:r>
      <w:proofErr w:type="gramEnd"/>
      <w:r w:rsidRPr="004D46FC">
        <w:rPr>
          <w:rFonts w:ascii="Cambria" w:eastAsia="Times New Roman" w:hAnsi="Cambria" w:cs="Times New Roman"/>
          <w:sz w:val="24"/>
          <w:szCs w:val="24"/>
        </w:rPr>
        <w:t xml:space="preserve"> </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eastAsia="Times New Roman" w:hAnsi="Cambria" w:cs="Times New Roman"/>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 xml:space="preserve">The Coalition </w:t>
      </w:r>
      <w:proofErr w:type="gramStart"/>
      <w:r w:rsidRPr="004D46FC">
        <w:rPr>
          <w:rFonts w:ascii="Cambria" w:eastAsia="Times New Roman" w:hAnsi="Cambria" w:cs="Times New Roman"/>
          <w:sz w:val="24"/>
          <w:szCs w:val="24"/>
        </w:rPr>
        <w:t>Against</w:t>
      </w:r>
      <w:proofErr w:type="gramEnd"/>
      <w:r w:rsidRPr="004D46FC">
        <w:rPr>
          <w:rFonts w:ascii="Cambria" w:eastAsia="Times New Roman" w:hAnsi="Cambria" w:cs="Times New Roman"/>
          <w:sz w:val="24"/>
          <w:szCs w:val="24"/>
        </w:rPr>
        <w:t xml:space="preserve"> Water Privatization (2009:1) was disgusted with the Court’s logic, however: “We have the highest court in the land saying that those poor people with pre-paid water meters must not think that their water supply has discontinued when their taps run dry... Such ‘logic,’ and even worse that it </w:t>
      </w:r>
      <w:proofErr w:type="gramStart"/>
      <w:r w:rsidRPr="004D46FC">
        <w:rPr>
          <w:rFonts w:ascii="Cambria" w:eastAsia="Times New Roman" w:hAnsi="Cambria" w:cs="Times New Roman"/>
          <w:sz w:val="24"/>
          <w:szCs w:val="24"/>
        </w:rPr>
        <w:t>is</w:t>
      </w:r>
      <w:proofErr w:type="gramEnd"/>
      <w:r w:rsidRPr="004D46FC">
        <w:rPr>
          <w:rFonts w:ascii="Cambria" w:eastAsia="Times New Roman" w:hAnsi="Cambria" w:cs="Times New Roman"/>
          <w:sz w:val="24"/>
          <w:szCs w:val="24"/>
        </w:rPr>
        <w:t xml:space="preserve"> wrapped up in legal dressing and has such crucial practical consequences, is nothing less than mind boggling and an insult both to the poor and to the constitutional imperatives of justice and equality.”</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sz w:val="24"/>
          <w:szCs w:val="24"/>
        </w:rPr>
        <w:t xml:space="preserve">The case was useful nonetheless in revealing the broader limits to the merely </w:t>
      </w:r>
      <w:r w:rsidRPr="004D46FC">
        <w:rPr>
          <w:rFonts w:ascii="Cambria" w:eastAsia="Times New Roman" w:hAnsi="Cambria" w:cs="Times New Roman"/>
          <w:sz w:val="24"/>
          <w:szCs w:val="24"/>
        </w:rPr>
        <w:lastRenderedPageBreak/>
        <w:t xml:space="preserve">constitutional framing of socio-economic rights (Danchin 2010, Dugard 2010a, 2010b). One such limitation is the concomitant ‘domestication’ of the politics of need, as Tshepo Madlingozi (2007) put it. By taking militants off the street and putting them into courts where their arguments had to be panel-beat—removing any progressive and quasi-socialist intent, for example—the vain hope was to acquire judges’ approval. Another critical legal scholar, Marius Pieterse (2007:797), complained that “the transformative potential of rights is significantly thwarted by the fact that they are typically formulated, interpreted, and enforced by institutions that are embedded in the political, social, and economic status quo.” Added Daniel Brand (2005:18-19), “The law, including adjudication, works in a variety of ways to destroy the societal structures necessary for politics, to close down space for political contestation.” Brand specifically accuses courts of depolitizing poverty by casting cases ‘as private or familial issues rather than public or political.’ </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360"/>
        <w:rPr>
          <w:rFonts w:ascii="Cambria" w:hAnsi="Cambria"/>
          <w:sz w:val="24"/>
          <w:szCs w:val="24"/>
        </w:rPr>
      </w:pP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r w:rsidRPr="004D46FC">
        <w:rPr>
          <w:rFonts w:ascii="Cambria" w:eastAsia="Times New Roman" w:hAnsi="Cambria" w:cs="Times New Roman"/>
          <w:b/>
          <w:sz w:val="24"/>
          <w:szCs w:val="24"/>
        </w:rPr>
        <w:t>Commoning medicines during the AIDS pandemic</w:t>
      </w:r>
    </w:p>
    <w:p w:rsidR="00EB690C" w:rsidRPr="004D46FC" w:rsidRDefault="00EB690C" w:rsidP="00EB690C">
      <w:pPr>
        <w:widowControl w:val="0"/>
        <w:tabs>
          <w:tab w:val="left" w:pos="560"/>
          <w:tab w:val="left" w:pos="72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sz w:val="24"/>
          <w:szCs w:val="24"/>
        </w:rPr>
      </w:pPr>
    </w:p>
    <w:p w:rsidR="00EB690C" w:rsidRPr="004D46FC" w:rsidRDefault="00EB690C" w:rsidP="00EB690C">
      <w:pPr>
        <w:tabs>
          <w:tab w:val="left" w:pos="720"/>
          <w:tab w:val="left" w:pos="1440"/>
        </w:tabs>
        <w:spacing w:after="0" w:line="240" w:lineRule="auto"/>
        <w:rPr>
          <w:rFonts w:ascii="Cambria" w:hAnsi="Cambria"/>
          <w:sz w:val="24"/>
          <w:szCs w:val="24"/>
        </w:rPr>
      </w:pPr>
      <w:r w:rsidRPr="004D46FC">
        <w:rPr>
          <w:rFonts w:ascii="Cambria" w:eastAsia="Times New Roman" w:hAnsi="Cambria" w:cs="Times New Roman"/>
          <w:sz w:val="24"/>
          <w:szCs w:val="24"/>
        </w:rPr>
        <w:t xml:space="preserve">One solution, both proposed and acted upon, has been the moving of rights talk to that of ‘commoning’, articulating more clearly and politically the collective claim for public goods. </w:t>
      </w:r>
      <w:proofErr w:type="gramStart"/>
      <w:r w:rsidRPr="004D46FC">
        <w:rPr>
          <w:rFonts w:ascii="Cambria" w:eastAsia="Times New Roman" w:hAnsi="Cambria" w:cs="Times New Roman"/>
          <w:sz w:val="24"/>
          <w:szCs w:val="24"/>
        </w:rPr>
        <w:t>For this, in turn, can represent a more consistent form of sustained resistance to neoliberalism, one potentially ranging from mass protest to micro-level mutual aid.</w:t>
      </w:r>
      <w:proofErr w:type="gramEnd"/>
      <w:r w:rsidRPr="004D46FC">
        <w:rPr>
          <w:rFonts w:ascii="Cambria" w:eastAsia="Times New Roman" w:hAnsi="Cambria" w:cs="Times New Roman"/>
          <w:sz w:val="24"/>
          <w:szCs w:val="24"/>
        </w:rPr>
        <w:t xml:space="preserve"> The AIDS victory in the Constitutional Court could not have been achieved without the broader political sensibility won in 1999-2002 by activists who converted AIDS from a personal health stigma into a social cause that required a commoning of medicines that had earlier been privately consumed, at great cost, by only those with class and race privileges. </w:t>
      </w:r>
    </w:p>
    <w:p w:rsidR="00EB690C" w:rsidRPr="004D46FC" w:rsidRDefault="00EB690C" w:rsidP="00EB690C">
      <w:pPr>
        <w:tabs>
          <w:tab w:val="left" w:pos="720"/>
          <w:tab w:val="left" w:pos="1440"/>
        </w:tabs>
        <w:spacing w:after="0" w:line="240" w:lineRule="auto"/>
        <w:rPr>
          <w:rFonts w:ascii="Cambria" w:hAnsi="Cambria"/>
          <w:sz w:val="24"/>
          <w:szCs w:val="24"/>
        </w:rPr>
      </w:pPr>
    </w:p>
    <w:p w:rsidR="00EB690C" w:rsidRPr="004D46FC" w:rsidRDefault="00EB690C" w:rsidP="00EB690C">
      <w:pPr>
        <w:tabs>
          <w:tab w:val="left" w:pos="720"/>
          <w:tab w:val="left" w:pos="1440"/>
        </w:tabs>
        <w:spacing w:after="0" w:line="240" w:lineRule="auto"/>
        <w:rPr>
          <w:rFonts w:ascii="Cambria" w:hAnsi="Cambria"/>
          <w:sz w:val="24"/>
          <w:szCs w:val="24"/>
        </w:rPr>
      </w:pPr>
      <w:r w:rsidRPr="004D46FC">
        <w:rPr>
          <w:rFonts w:ascii="Cambria" w:eastAsia="Times New Roman" w:hAnsi="Cambria" w:cs="Times New Roman"/>
          <w:sz w:val="24"/>
          <w:szCs w:val="24"/>
        </w:rPr>
        <w:t xml:space="preserve">Because so many lives were lost in the early 2000s, and because the struggle to save subsequent lives of millions of HIV+ South Africans was ultimately victorious, it is worth understanding in detail how a small, beleaguered group of activists with compromised immune systems had such an extraordinary impact on public policy while also challenging the whole notion of commodified healthcare. The South African government’s 1997 Medicines Act had actually made provision for compulsory licensing of patented drugs, and this in turn helped to catalyse the formation in 1998 of a Treatment Action Campaign (TAC) that lobbied for AIDS drugs. In the late 1990s, such AntiRetroviral Medicines (ARVs) were prohibitively expensive for nearly all the five million people who would need them once their blood counts (‘CD4’) fell below 250. </w:t>
      </w:r>
    </w:p>
    <w:p w:rsidR="00EB690C" w:rsidRPr="004D46FC" w:rsidRDefault="00EB690C" w:rsidP="00EB690C">
      <w:pPr>
        <w:tabs>
          <w:tab w:val="left" w:pos="720"/>
          <w:tab w:val="left" w:pos="1440"/>
        </w:tabs>
        <w:spacing w:after="0" w:line="240" w:lineRule="auto"/>
        <w:rPr>
          <w:rFonts w:ascii="Cambria" w:hAnsi="Cambria"/>
          <w:sz w:val="24"/>
          <w:szCs w:val="24"/>
        </w:rPr>
      </w:pPr>
    </w:p>
    <w:p w:rsidR="00EB690C" w:rsidRPr="004D46FC" w:rsidRDefault="00EB690C" w:rsidP="00EB690C">
      <w:pPr>
        <w:tabs>
          <w:tab w:val="left" w:pos="720"/>
          <w:tab w:val="left" w:pos="1440"/>
        </w:tabs>
        <w:spacing w:after="0" w:line="240" w:lineRule="auto"/>
        <w:rPr>
          <w:rFonts w:ascii="Cambria" w:hAnsi="Cambria"/>
          <w:sz w:val="24"/>
          <w:szCs w:val="24"/>
        </w:rPr>
      </w:pPr>
      <w:r w:rsidRPr="004D46FC">
        <w:rPr>
          <w:rFonts w:ascii="Cambria" w:eastAsia="Times New Roman" w:hAnsi="Cambria" w:cs="Times New Roman"/>
          <w:sz w:val="24"/>
          <w:szCs w:val="24"/>
        </w:rPr>
        <w:t xml:space="preserve">That campaign was immediately confronted by the US State Department’s ‘full court press’ against the Medicines Act (the formal description provided to the US Congress), in large part to protect intellectual property rights generally, and specifically to prevent the emergence of a parallel inexpensive supply of AIDS medicines that would undermine lucrative Western markets. The campaign included US Vice President Al Gore’s direct intervention with SA government leaders in 1998–99 to revoke the law (significantly, in July 1999, Gore launched his 2000 presidential election bid, a campaign generously funded by big pharmaceutical corporations). As an explicit counterweight, TAC’s allies in the AIDS Coalition to Unleash Power (ACT UP) began to protest at Gore’s campaign events in the United States. The protests ultimately threatened to cost Gore far more in adverse publicity than he was </w:t>
      </w:r>
      <w:proofErr w:type="gramStart"/>
      <w:r w:rsidRPr="004D46FC">
        <w:rPr>
          <w:rFonts w:ascii="Cambria" w:eastAsia="Times New Roman" w:hAnsi="Cambria" w:cs="Times New Roman"/>
          <w:sz w:val="24"/>
          <w:szCs w:val="24"/>
        </w:rPr>
        <w:t>raising</w:t>
      </w:r>
      <w:proofErr w:type="gramEnd"/>
      <w:r w:rsidRPr="004D46FC">
        <w:rPr>
          <w:rFonts w:ascii="Cambria" w:eastAsia="Times New Roman" w:hAnsi="Cambria" w:cs="Times New Roman"/>
          <w:sz w:val="24"/>
          <w:szCs w:val="24"/>
        </w:rPr>
        <w:t xml:space="preserve"> in Big Pharma contributions, so he </w:t>
      </w:r>
      <w:r w:rsidRPr="004D46FC">
        <w:rPr>
          <w:rFonts w:ascii="Cambria" w:eastAsia="Times New Roman" w:hAnsi="Cambria" w:cs="Times New Roman"/>
          <w:sz w:val="24"/>
          <w:szCs w:val="24"/>
        </w:rPr>
        <w:lastRenderedPageBreak/>
        <w:t xml:space="preserve">changed sides and withdrew his opposition to the Medicines Act—as did Bill Clinton a few weeks later at the World Trade Organization’s Seattle Summit. </w:t>
      </w:r>
    </w:p>
    <w:p w:rsidR="00EB690C" w:rsidRPr="004D46FC" w:rsidRDefault="00EB690C" w:rsidP="00EB690C">
      <w:pPr>
        <w:tabs>
          <w:tab w:val="left" w:pos="720"/>
          <w:tab w:val="left" w:pos="1440"/>
        </w:tabs>
        <w:spacing w:after="0" w:line="240" w:lineRule="auto"/>
        <w:rPr>
          <w:rFonts w:ascii="Cambria" w:hAnsi="Cambria"/>
          <w:sz w:val="24"/>
          <w:szCs w:val="24"/>
        </w:rPr>
      </w:pPr>
    </w:p>
    <w:p w:rsidR="00EB690C" w:rsidRPr="004D46FC" w:rsidRDefault="00EB690C" w:rsidP="00EB690C">
      <w:pPr>
        <w:tabs>
          <w:tab w:val="left" w:pos="720"/>
          <w:tab w:val="left" w:pos="1440"/>
        </w:tabs>
        <w:spacing w:after="0" w:line="240" w:lineRule="auto"/>
        <w:rPr>
          <w:rFonts w:ascii="Cambria" w:hAnsi="Cambria"/>
          <w:sz w:val="24"/>
          <w:szCs w:val="24"/>
        </w:rPr>
      </w:pPr>
      <w:r w:rsidRPr="004D46FC">
        <w:rPr>
          <w:rFonts w:ascii="Cambria" w:eastAsia="Times New Roman" w:hAnsi="Cambria" w:cs="Times New Roman"/>
          <w:sz w:val="24"/>
          <w:szCs w:val="24"/>
        </w:rPr>
        <w:t xml:space="preserve">Big Pharma did not give up, of course. The main South African affiliates of the companies that held patents filed a 1999 lawsuit against the constitutionality of the Medicines Act, counterproductively entitled ‘Pharmaceutical Manufacturers Association of SA v. Nelson Mandela’ (a case which even </w:t>
      </w:r>
      <w:r w:rsidRPr="004D46FC">
        <w:rPr>
          <w:rFonts w:ascii="Cambria" w:eastAsia="Times New Roman" w:hAnsi="Cambria" w:cs="Times New Roman"/>
          <w:i/>
          <w:sz w:val="24"/>
          <w:szCs w:val="24"/>
        </w:rPr>
        <w:t xml:space="preserve">Wall Street Journal </w:t>
      </w:r>
      <w:r w:rsidRPr="004D46FC">
        <w:rPr>
          <w:rFonts w:ascii="Cambria" w:eastAsia="Times New Roman" w:hAnsi="Cambria" w:cs="Times New Roman"/>
          <w:sz w:val="24"/>
          <w:szCs w:val="24"/>
        </w:rPr>
        <w:t xml:space="preserve">editorialists found offensive). It went to court in early 2001, but by April there were also additional TAC solidarity protests world-wide against pharmaceutical corporations in several cities by Medicins sans Frontiers, Oxfam and other TAC solidarity groups. Such public pressure compelled thepharmaceutical manufacturers to withdraw the suit and by late 2001, the Doha Agenda of the World Trade Organization adopted explicit language permitting violation of the Agreement on Trade-Related Aspects of Intellectual Property Rights for the sake of medical emergencies. </w:t>
      </w:r>
    </w:p>
    <w:p w:rsidR="00EB690C" w:rsidRPr="004D46FC" w:rsidRDefault="00EB690C" w:rsidP="00EB690C">
      <w:pPr>
        <w:tabs>
          <w:tab w:val="left" w:pos="720"/>
          <w:tab w:val="left" w:pos="1440"/>
        </w:tabs>
        <w:spacing w:after="0" w:line="240" w:lineRule="auto"/>
        <w:rPr>
          <w:rFonts w:ascii="Cambria" w:hAnsi="Cambria"/>
          <w:sz w:val="24"/>
          <w:szCs w:val="24"/>
        </w:rPr>
      </w:pPr>
    </w:p>
    <w:p w:rsidR="00EB690C" w:rsidRPr="004D46FC" w:rsidRDefault="00EB690C" w:rsidP="00EB690C">
      <w:pPr>
        <w:tabs>
          <w:tab w:val="left" w:pos="720"/>
          <w:tab w:val="left" w:pos="1440"/>
        </w:tabs>
        <w:spacing w:after="0" w:line="240" w:lineRule="auto"/>
        <w:rPr>
          <w:rFonts w:ascii="Cambria" w:hAnsi="Cambria"/>
          <w:sz w:val="24"/>
          <w:szCs w:val="24"/>
        </w:rPr>
      </w:pPr>
      <w:r w:rsidRPr="004D46FC">
        <w:rPr>
          <w:rFonts w:ascii="Cambria" w:eastAsia="Times New Roman" w:hAnsi="Cambria" w:cs="Times New Roman"/>
          <w:sz w:val="24"/>
          <w:szCs w:val="24"/>
        </w:rPr>
        <w:t>It is also true that Big Pharma’s reluctance to surrender property rights so as to meet needs in the large but far from lucrative African market coincided with the rise of philanthropic and aid initiatives to provide branded medicines. The Bill and Melinda Gates Foundation’s parallel health services in sites like Botswana undermined state health services; it was no coincidence that Gates himself stood more to lose than anyone on the planet in the event intellectual property was threatened. Given such prevailing power relationships, the South African government did not invoke any compulsory licensing of medicines even after the 2001 lawsuit was withdrawn. Local generics manufacturers Aspen and Adcock Ingram did, however, lower costs substantially through voluntary licensing of the major AIDS drugs. It is in this sense that not only decommodification, but also deglobalization of capital was considered vital to expanding access to the ARVs. Similar local licensing arrangements were soon arranged for firms in Kampala, Harare, and other sites.</w:t>
      </w:r>
    </w:p>
    <w:p w:rsidR="00EB690C" w:rsidRPr="004D46FC" w:rsidRDefault="00EB690C" w:rsidP="00EB690C">
      <w:pPr>
        <w:tabs>
          <w:tab w:val="left" w:pos="720"/>
          <w:tab w:val="left" w:pos="1440"/>
        </w:tabs>
        <w:spacing w:after="0" w:line="240" w:lineRule="auto"/>
        <w:rPr>
          <w:rFonts w:ascii="Cambria" w:hAnsi="Cambria"/>
          <w:sz w:val="24"/>
          <w:szCs w:val="24"/>
        </w:rPr>
      </w:pPr>
    </w:p>
    <w:p w:rsidR="00EB690C" w:rsidRPr="004D46FC" w:rsidRDefault="00EB690C" w:rsidP="00EB690C">
      <w:pPr>
        <w:tabs>
          <w:tab w:val="left" w:pos="720"/>
          <w:tab w:val="left" w:pos="1440"/>
        </w:tabs>
        <w:spacing w:after="0" w:line="240" w:lineRule="auto"/>
        <w:rPr>
          <w:rFonts w:ascii="Cambria" w:hAnsi="Cambria"/>
          <w:sz w:val="24"/>
          <w:szCs w:val="24"/>
        </w:rPr>
      </w:pPr>
      <w:r w:rsidRPr="004D46FC">
        <w:rPr>
          <w:rFonts w:ascii="Cambria" w:eastAsia="Times New Roman" w:hAnsi="Cambria" w:cs="Times New Roman"/>
          <w:sz w:val="24"/>
          <w:szCs w:val="24"/>
        </w:rPr>
        <w:t>This struggle was one of the most inspiring in the context of Mbeki’s neoliberal-nationalist years. Elsewhere in South Africa, independent left movements struggled to turn basic needs into human rights, making far-reaching demands (and even occasionally winning important partial victories): the provision of improved health services (which led to endorsement of a National Health Insurance in 2010); an increase in free electricity from the tokenistic 50 kilowatt hours per household per month, especially given the vast Eskom price increases starting in 2008; thoroughgoing land reform; a prohibition on evictions and the disconnection of services; free education; lifeline (free) access to cellphone calls and SMS texts; and even a ‘Basic Income Grant’, as advocated by churches and trade unions. The idea in most such campaigns was that services should be provided to all as a human right by a genuinely democratic state, and to the degree that it was feasible, financed through cross-subsidization by imposition of much higher prices for luxury consumption.</w:t>
      </w:r>
    </w:p>
    <w:p w:rsidR="00EB690C" w:rsidRPr="004D46FC" w:rsidRDefault="00EB690C" w:rsidP="00EB690C">
      <w:pPr>
        <w:tabs>
          <w:tab w:val="left" w:pos="720"/>
          <w:tab w:val="left" w:pos="1440"/>
        </w:tabs>
        <w:spacing w:after="0" w:line="240" w:lineRule="auto"/>
        <w:rPr>
          <w:rFonts w:ascii="Cambria" w:hAnsi="Cambria"/>
          <w:sz w:val="24"/>
          <w:szCs w:val="24"/>
        </w:rPr>
      </w:pPr>
    </w:p>
    <w:p w:rsidR="00EB690C" w:rsidRPr="004D46FC" w:rsidRDefault="00EB690C" w:rsidP="00EB690C">
      <w:pPr>
        <w:tabs>
          <w:tab w:val="left" w:pos="720"/>
          <w:tab w:val="left" w:pos="1440"/>
        </w:tabs>
        <w:spacing w:after="0" w:line="240" w:lineRule="auto"/>
        <w:rPr>
          <w:rFonts w:ascii="Cambria" w:hAnsi="Cambria"/>
          <w:sz w:val="24"/>
          <w:szCs w:val="24"/>
        </w:rPr>
      </w:pPr>
      <w:r w:rsidRPr="004D46FC">
        <w:rPr>
          <w:rFonts w:ascii="Cambria" w:eastAsia="Times New Roman" w:hAnsi="Cambria" w:cs="Times New Roman"/>
          <w:sz w:val="24"/>
          <w:szCs w:val="24"/>
        </w:rPr>
        <w:t xml:space="preserve">Because the ‘commodification of everything’ was still under way across Africa however, </w:t>
      </w:r>
      <w:r w:rsidRPr="004D46FC">
        <w:rPr>
          <w:rFonts w:ascii="Cambria" w:eastAsia="Times New Roman" w:hAnsi="Cambria" w:cs="Times New Roman"/>
          <w:i/>
          <w:sz w:val="24"/>
          <w:szCs w:val="24"/>
        </w:rPr>
        <w:t>de</w:t>
      </w:r>
      <w:r w:rsidRPr="004D46FC">
        <w:rPr>
          <w:rFonts w:ascii="Cambria" w:eastAsia="Times New Roman" w:hAnsi="Cambria" w:cs="Times New Roman"/>
          <w:sz w:val="24"/>
          <w:szCs w:val="24"/>
        </w:rPr>
        <w:t xml:space="preserve">commodification could actually form the basis of a unifying agenda for a broad social reform movement, if linked to the demand to ‘rescale’ many political–economic responsibilities that were handled by embryonic world-state institutions. The decommodification principle was already an enormous threat to the West’s imperial interests, as in, for example, the denial of private corporate monopolies based on </w:t>
      </w:r>
      <w:r w:rsidRPr="004D46FC">
        <w:rPr>
          <w:rFonts w:ascii="Cambria" w:eastAsia="Times New Roman" w:hAnsi="Cambria" w:cs="Times New Roman"/>
          <w:sz w:val="24"/>
          <w:szCs w:val="24"/>
        </w:rPr>
        <w:lastRenderedPageBreak/>
        <w:t>‘intellectual property’; resistance to biopiracy and the exclusion of genetically modified seeds from African agricultural systems; the renationalization of industries and utilities (particularly when privatization strategies systematically failed, as happened across Africa); the recapture of indigenous people’s territory via land grabs; and the empowerment of African labor forces against multinational and local corporate exploitation.</w:t>
      </w:r>
    </w:p>
    <w:p w:rsidR="00EB690C" w:rsidRPr="004D46FC" w:rsidRDefault="00EB690C" w:rsidP="00EB690C">
      <w:pPr>
        <w:tabs>
          <w:tab w:val="left" w:pos="720"/>
          <w:tab w:val="left" w:pos="1440"/>
        </w:tabs>
        <w:spacing w:after="0" w:line="240" w:lineRule="auto"/>
        <w:rPr>
          <w:rFonts w:ascii="Cambria" w:hAnsi="Cambria"/>
          <w:sz w:val="24"/>
          <w:szCs w:val="24"/>
        </w:rPr>
      </w:pPr>
    </w:p>
    <w:p w:rsidR="00EB690C" w:rsidRPr="004D46FC" w:rsidRDefault="00EB690C" w:rsidP="00EB690C">
      <w:pPr>
        <w:tabs>
          <w:tab w:val="left" w:pos="720"/>
          <w:tab w:val="left" w:pos="1440"/>
        </w:tabs>
        <w:spacing w:after="0" w:line="240" w:lineRule="auto"/>
        <w:rPr>
          <w:rFonts w:ascii="Cambria" w:eastAsia="Times New Roman" w:hAnsi="Cambria" w:cs="Times New Roman"/>
          <w:sz w:val="24"/>
          <w:szCs w:val="24"/>
        </w:rPr>
      </w:pPr>
      <w:r w:rsidRPr="004D46FC">
        <w:rPr>
          <w:rFonts w:ascii="Cambria" w:eastAsia="Times New Roman" w:hAnsi="Cambria" w:cs="Times New Roman"/>
          <w:sz w:val="24"/>
          <w:szCs w:val="24"/>
        </w:rPr>
        <w:t xml:space="preserve">To make further progress along these lines, delinking from the most destructive circuits of global capital will also be necessary, combining local decommodification strategies with traditional social movements’ calls to close the World Bank, IMF, and WTO, and with rejection of the United Nations’ neoliberal functions and lubrication of US imperialism. Beyond that, the challenge for Africa’s and South Africa’s progressive forces, as ever, is to establish the difference between ‘reformist reforms’ and reforms that advanced a ‘non-reformist’ agenda (in the terminology of Andre Gorz—but also termed ‘structural reforms’ by John Saul). </w:t>
      </w:r>
    </w:p>
    <w:p w:rsidR="00EB690C" w:rsidRPr="004D46FC" w:rsidRDefault="00EB690C" w:rsidP="00EB690C">
      <w:pPr>
        <w:tabs>
          <w:tab w:val="left" w:pos="720"/>
          <w:tab w:val="left" w:pos="1440"/>
        </w:tabs>
        <w:spacing w:after="0" w:line="240" w:lineRule="auto"/>
        <w:rPr>
          <w:rFonts w:ascii="Cambria" w:eastAsia="Times New Roman" w:hAnsi="Cambria" w:cs="Times New Roman"/>
          <w:sz w:val="24"/>
          <w:szCs w:val="24"/>
        </w:rPr>
      </w:pPr>
    </w:p>
    <w:p w:rsidR="00EB690C" w:rsidRPr="004D46FC" w:rsidRDefault="00EB690C" w:rsidP="00EB690C">
      <w:pPr>
        <w:tabs>
          <w:tab w:val="left" w:pos="720"/>
          <w:tab w:val="left" w:pos="1440"/>
        </w:tabs>
        <w:spacing w:after="0" w:line="240" w:lineRule="auto"/>
        <w:rPr>
          <w:rFonts w:ascii="Cambria" w:hAnsi="Cambria"/>
          <w:sz w:val="24"/>
          <w:szCs w:val="24"/>
        </w:rPr>
      </w:pPr>
      <w:r w:rsidRPr="004D46FC">
        <w:rPr>
          <w:rFonts w:ascii="Cambria" w:eastAsia="Times New Roman" w:hAnsi="Cambria" w:cs="Times New Roman"/>
          <w:sz w:val="24"/>
          <w:szCs w:val="24"/>
        </w:rPr>
        <w:t>The latter attempts were to win gains that did not strengthen the internal logic of the system, but that instead empowered the system’s opponents. Hence, unlike reformist reforms, non-reformist reforms would not have a co-optive character. Neither would they lessen the momentum of reformers (as did many successful reformist reforms). Rather, they heightened the level of meaningful confrontation by opening up new terrains of struggle. The non-reformist reform strategy would include generous social policies stressing decommodification, exchange controls, and more inward-oriented industrial strategies allowing democratic control of finance and ultimately of production itself. These sorts of reforms can strengthen democratic movements, directly empower producers (especially women) and, over time, open the door to the contestation of capitalism itself.</w:t>
      </w:r>
    </w:p>
    <w:p w:rsidR="00EB690C" w:rsidRPr="004D46FC" w:rsidRDefault="00EB690C" w:rsidP="00EB690C">
      <w:pPr>
        <w:tabs>
          <w:tab w:val="left" w:pos="720"/>
          <w:tab w:val="left" w:pos="1440"/>
        </w:tabs>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We have briefly considered how these struggles play out in the realm of AIDS medicines and how they link to broader decommodification agendas. Then how might we return to debates about the right to the city, especially given the understanding of rights limitations when it comes to water?</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b/>
          <w:sz w:val="24"/>
          <w:szCs w:val="24"/>
        </w:rPr>
        <w:t xml:space="preserve">The right to the city </w:t>
      </w:r>
      <w:r w:rsidRPr="004D46FC">
        <w:rPr>
          <w:rFonts w:ascii="Cambria" w:eastAsia="Times New Roman" w:hAnsi="Cambria" w:cs="Times New Roman"/>
          <w:b/>
          <w:i/>
          <w:sz w:val="24"/>
          <w:szCs w:val="24"/>
        </w:rPr>
        <w:t xml:space="preserve">and </w:t>
      </w:r>
      <w:r w:rsidRPr="004D46FC">
        <w:rPr>
          <w:rFonts w:ascii="Cambria" w:eastAsia="Times New Roman" w:hAnsi="Cambria" w:cs="Times New Roman"/>
          <w:b/>
          <w:sz w:val="24"/>
          <w:szCs w:val="24"/>
        </w:rPr>
        <w:t>to the water commons in South Africa</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Making hydro-socio-ecological connections within South Africa’s cities will be one of the crucial challenges for those invoking the right to water. As Lefebvre (1996:72) put it: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ind w:left="720" w:right="571"/>
        <w:rPr>
          <w:rFonts w:ascii="Cambria" w:hAnsi="Cambria"/>
          <w:sz w:val="24"/>
          <w:szCs w:val="24"/>
        </w:rPr>
      </w:pPr>
      <w:r w:rsidRPr="004D46FC">
        <w:rPr>
          <w:rFonts w:ascii="Cambria" w:eastAsia="Times New Roman" w:hAnsi="Cambria" w:cs="Times New Roman"/>
          <w:sz w:val="24"/>
          <w:szCs w:val="24"/>
        </w:rPr>
        <w:t>Carried by the urban fabric, urban society and life penetrate the countryside. Such a way of living entails systems of objects and of values. The best known elements of the urban system of objects include water, electricity, gas (butane in the countryside), not to mention the car, the television, plastic utensils, ‘modern’ furniture, which entail new demands with regard to services.</w:t>
      </w:r>
    </w:p>
    <w:p w:rsidR="00EB690C" w:rsidRPr="004D46FC" w:rsidRDefault="00EB690C" w:rsidP="00EB690C">
      <w:pPr>
        <w:spacing w:after="0" w:line="240" w:lineRule="auto"/>
        <w:ind w:left="720" w:right="571"/>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Indeed, the ecological challenge of mobilizing water has, traditionally, been an important process of more general social and spatial organization (Strang 2004). As Lefebvre (1996:106) explained:</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ind w:left="720" w:right="720"/>
        <w:rPr>
          <w:rFonts w:ascii="Cambria" w:hAnsi="Cambria"/>
          <w:sz w:val="24"/>
          <w:szCs w:val="24"/>
        </w:rPr>
      </w:pPr>
      <w:r w:rsidRPr="004D46FC">
        <w:rPr>
          <w:rFonts w:ascii="Cambria" w:eastAsia="Times New Roman" w:hAnsi="Cambria" w:cs="Times New Roman"/>
          <w:sz w:val="24"/>
          <w:szCs w:val="24"/>
        </w:rPr>
        <w:lastRenderedPageBreak/>
        <w:t xml:space="preserve">One knows that there was and there still is the oriental city, expression and projection on the ground, effect and cause, of the Asiatic mode of production; in this mode of production State power, resting on the city, organizes economically a more or less extensive agrarian zone, regulates and controls water, irrigation and drainage, the use of land, in brief, agricultural production. </w:t>
      </w:r>
    </w:p>
    <w:p w:rsidR="00EB690C" w:rsidRPr="004D46FC" w:rsidRDefault="00EB690C" w:rsidP="00EB690C">
      <w:pPr>
        <w:spacing w:after="0" w:line="240" w:lineRule="auto"/>
        <w:ind w:left="720" w:right="72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Each different struggle for the right to the city is located within a specific political-economic context in which urbanization has been shaped by access to water. The early ‘oriental despotism’ that Karl Wittfogel (1957) discovered would follow from this Asiatic mode of production’s emphasis on a strong central state’s control of the water works gave way, in successive eras of city-building, to the central square role of water fountains in medieval market cities, and to huge infrastructural investments in capitalist cities. Within the latter, the neoliberal capitalist city has adopted a variety of techniques that individualize and commodify water consumption, delinking it from sourcing and disposal even though both these tasks are more difficult to accomplish through public-private partnerships. Given the emphasis on decentralization, as Bakker (2007:436) suggests, ‘The biophysical properties of resources, together with local governance frameworks, strongly influence the types of neoliberal reforms which are likely to be introduced’.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 next logical step on a civilizational ladder of water consumption would not, however, be simply a </w:t>
      </w:r>
      <w:r w:rsidRPr="004D46FC">
        <w:rPr>
          <w:rFonts w:ascii="Cambria" w:eastAsia="Times New Roman" w:hAnsi="Cambria" w:cs="Times New Roman"/>
          <w:i/>
          <w:sz w:val="24"/>
          <w:szCs w:val="24"/>
        </w:rPr>
        <w:t>Mazibuko-</w:t>
      </w:r>
      <w:r w:rsidRPr="004D46FC">
        <w:rPr>
          <w:rFonts w:ascii="Cambria" w:eastAsia="Times New Roman" w:hAnsi="Cambria" w:cs="Times New Roman"/>
          <w:sz w:val="24"/>
          <w:szCs w:val="24"/>
        </w:rPr>
        <w:t>style expansion of poor people’s access (and technology) within the confines of the existing system. Acquiring a genuine right to water will require its ‘commoning’, both horizontally across the populace, and vertically from the raindrop above or borehole below, all the way to the sewage outfall and the sea. But to get to the next mode of financing, extraction, production, distribution, consumption, and disposal of water requires a formidable social force to take us through and beyond rights, to the water commons.</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Tactically, anger about violations of the right to water has taken forms ranging from direct protests, to informal/illegal reconnections and destruction of prepayment meters, to a constitutional challenge over water services in Soweto. Rights advocates argue that they have the potential to shift policy from market-based approaches to a narrative more conducive to ‘social justice’, even in the face of powerful commercial interests and imperatives. Yet the limits of a rights discourse are increasingly evident, as South Africa’s 2008–09 courtroom dramas indicated. If the objective of those promoting the right to the city includes making water primarily an eco-social rather than a commercial good, these limits will have to be transcended. The need to encompass eco-systemic issues in rights discourses is illustrated by the enormous health impacts of unpurified water use (Global Health Watch 2005: 207-224).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Thus once we interrogate the limits to rights in the South African context, the most fruitful strategic approach may be to move from and beyond ‘consumption-rights’ to reinstate a notion of the commons, which includes broader hydro-political systems. To do so, however, the South African struggle for water shows that social protests will need to intensify, to force concessions that help remake the urban built environment. As expressed by David Harvey (2009), “My argument is that if this crisis is basically a crisis of urbanization then the solution should be urbanization of a different sort and this is </w:t>
      </w:r>
      <w:r w:rsidRPr="004D46FC">
        <w:rPr>
          <w:rFonts w:ascii="Cambria" w:eastAsia="Times New Roman" w:hAnsi="Cambria" w:cs="Times New Roman"/>
          <w:sz w:val="24"/>
          <w:szCs w:val="24"/>
        </w:rPr>
        <w:lastRenderedPageBreak/>
        <w:t>where the struggle for the right to the city becomes crucial because we have the opportunity to do something different.”</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One of the first strategies, however, is defense. The struggle for the right to water entails staying in place in the face of water disconnections and even evictions. Apartheid-era resistance to evictions is one precedent, but another is the moment in which the prior downturn in South Africa’s ‘Kuznets Cycle’ (of roughly 15-year ups and downs in real estate prices) occurred, the early 1990s. The resulting ‘negative equity’ generated housing ‘bonds boycotts’ in South Africa’s black townships. The few years of prior financial liberalization after 1985 combined with a class differentiation strategy by apartheid’s rulers was manifest in the granting of 200,000 mortgages (‘bonds’) to first-time black borrowers over the subsequent four years. But the long 1989–93 recession left 500,000 freshly unemployed workers and their families unable to pay for housing. This in turn helped generate a collective refusal to repay housing bonds until certain conditions were met. The tactic moved from the site of the Uitenhage Volkswagen auto strike in the Eastern Cape to the Johannesburg area in 1990, as a consequence of two factors: shoddy housing construction (for which the homebuyers had no other means of recourse than boycotting the housing bond) and the rise in interest rates from 12.5 per cent (-6 per cent in real terms) in 1988 to 21 per cent (+7 per cent in real terms) in late 1989, which in most cases doubled monthly bond repayments (Bond 2000).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As a result of the resistance, township housing foreclosures which could not be consummated due to refusal of the defaulting borrowers (supported by the community) to vacate their houses and the leading financier’s US$700 million black housing bond exposure in September 1992 was the reason that its holding company (Nedcor) lost 20 per cent of its Johannesburg Stock Exchange share value (in excess of US$150 million lost) in a single week, following a threat of a national bond boycott from the national civic organization. Locally, if a bank did bring in a sheriff to foreclose and evict defaulters, it was not uncommon for a street committee of activists to burn the house down before the new owners completed the purchase and moved in. Such power, in turn, allowed both the national and local civic associations to negotiate concessions from the banks (Mayekiso 1996).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However, there are few links between the early 1990s civics which used these micro-Polanyian tactics successfully, and the 2000s generation of ‘new social movements’ which shifted to decommodification of water and electricity through illegal reconnections (Desai 2002). The differences partly reflect how few of the late 2000s mobilizing opportunities came from formal sector housing, and instead related to higher utility bills or forced removals of shack settlements. Still, there are profound lessons from the recent upsurge of social activism for resistance, not only to the implications of world capitalist crisis in South Africa, but elsewhere. </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 lessons come from deglobalization and decommodification strategies used to acquire basic needs goods, as exemplified in South Africa by the national Treatment Action Campaign (TAC) and Johannesburg Anti-Privatization Forum which have won, respectively, antiretroviral medicines needed to fight AIDS and publicly-provided water (Bond 2006). The drugs are now made locally in Africa—in Johannesburg, Kampala, Harare, and so on—and on a generic not a branded basis, and generally provided free of charge, a great advance upon the US$15,000/patient/year cost of branded AIDS </w:t>
      </w:r>
      <w:r w:rsidRPr="004D46FC">
        <w:rPr>
          <w:rFonts w:ascii="Cambria" w:eastAsia="Times New Roman" w:hAnsi="Cambria" w:cs="Times New Roman"/>
          <w:sz w:val="24"/>
          <w:szCs w:val="24"/>
        </w:rPr>
        <w:lastRenderedPageBreak/>
        <w:t>medicines a decade earlier (in South Africa, nearly a million people now receive them for free). The right to healthcare in the South African city, hence, requires the commoning of intellectual property rights, which were successfully achieved by the TAC by mid-decade in the 2000s after a period of extreme resistance to the United States and South African governments, to the World Trade Organization’s Trade-Related Intellectual Property Rights regime and to global pharmaceutical capital.</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 ability of social movements such as in the health, water and housing sectors to win major concessions from the capitalist state’s courts under conditions of crisis is hotly contested, and will have further implications for movement strategies in the future (see Huchzermeyer 2009 for the standard view that the South African Constitution mandates ‘an equal right to the city’). Leftist critics of rights talk point to the ceilings imposed by the Constitutional Court in the water case, and they consider a move </w:t>
      </w:r>
      <w:r w:rsidRPr="004D46FC">
        <w:rPr>
          <w:rFonts w:ascii="Cambria" w:eastAsia="Times New Roman" w:hAnsi="Cambria" w:cs="Times New Roman"/>
          <w:i/>
          <w:sz w:val="24"/>
          <w:szCs w:val="24"/>
        </w:rPr>
        <w:t>through and beyond</w:t>
      </w:r>
      <w:r w:rsidRPr="004D46FC">
        <w:rPr>
          <w:rFonts w:ascii="Cambria" w:eastAsia="Times New Roman" w:hAnsi="Cambria" w:cs="Times New Roman"/>
          <w:sz w:val="24"/>
          <w:szCs w:val="24"/>
        </w:rPr>
        <w:t xml:space="preserve"> human rights rhetoric necessary on grounds not only that—following the Critical Legal Scholarship tradition—rights talk is only conjuncturally and contingently useful (Roithmayr 2011). In addition, in political terms, Ashwin Desai (2010) summarises the South African urban social movements:</w:t>
      </w:r>
    </w:p>
    <w:p w:rsidR="00EB690C" w:rsidRPr="004D46FC" w:rsidRDefault="00EB690C" w:rsidP="00EB690C">
      <w:pPr>
        <w:spacing w:after="0" w:line="240" w:lineRule="auto"/>
        <w:ind w:firstLine="360"/>
        <w:rPr>
          <w:rFonts w:ascii="Cambria" w:hAnsi="Cambria"/>
          <w:sz w:val="24"/>
          <w:szCs w:val="24"/>
        </w:rPr>
      </w:pPr>
    </w:p>
    <w:p w:rsidR="00EB690C" w:rsidRPr="004D46FC" w:rsidRDefault="00EB690C" w:rsidP="00EB690C">
      <w:pPr>
        <w:spacing w:after="0" w:line="240" w:lineRule="auto"/>
        <w:ind w:left="720" w:right="720"/>
        <w:rPr>
          <w:rFonts w:ascii="Cambria" w:hAnsi="Cambria"/>
          <w:sz w:val="24"/>
          <w:szCs w:val="24"/>
        </w:rPr>
      </w:pPr>
      <w:r w:rsidRPr="004D46FC">
        <w:rPr>
          <w:rFonts w:ascii="Cambria" w:eastAsia="Times New Roman" w:hAnsi="Cambria" w:cs="Times New Roman"/>
          <w:sz w:val="24"/>
          <w:szCs w:val="24"/>
        </w:rPr>
        <w:t xml:space="preserve">If one surveys the jurisprudence of how socio-economic rights have been approached by our courts there is, despite all the chatter, one central and striking feature. Cases where the decision would have caused government substantial outlay of money or a major change in how they make their gross budgetary </w:t>
      </w:r>
      <w:proofErr w:type="gramStart"/>
      <w:r w:rsidRPr="004D46FC">
        <w:rPr>
          <w:rFonts w:ascii="Cambria" w:eastAsia="Times New Roman" w:hAnsi="Cambria" w:cs="Times New Roman"/>
          <w:sz w:val="24"/>
          <w:szCs w:val="24"/>
        </w:rPr>
        <w:t>allocations,</w:t>
      </w:r>
      <w:proofErr w:type="gramEnd"/>
      <w:r w:rsidRPr="004D46FC">
        <w:rPr>
          <w:rFonts w:ascii="Cambria" w:eastAsia="Times New Roman" w:hAnsi="Cambria" w:cs="Times New Roman"/>
          <w:sz w:val="24"/>
          <w:szCs w:val="24"/>
        </w:rPr>
        <w:t xml:space="preserve"> have all been lost. </w:t>
      </w:r>
    </w:p>
    <w:p w:rsidR="00EB690C" w:rsidRPr="004D46FC" w:rsidRDefault="00EB690C" w:rsidP="00EB690C">
      <w:pPr>
        <w:spacing w:after="0" w:line="240" w:lineRule="auto"/>
        <w:rPr>
          <w:rFonts w:ascii="Cambria" w:eastAsia="Times New Roman" w:hAnsi="Cambria" w:cs="Times New Roman"/>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In addition, the limits of neoliberal capitalist democracy sometimes stand exposed when battles between grassroots-based social movements and the state must be decided in a manner cognisant of the costs of labor power’s reproduction. At that point, if a demand upon the state to provide much greater subsidies to working-class people in turn impinges upon capital’s (and rich people’s) prerogatives, we can expect rejection, in much the same way Rod Burgess (1978) criticized an earlier version of relatively unambitious Urban Reform (John Turner’s self-help housing), on grounds that it fit into the process by which capital lowered its labor reproduction costs. It may be too early to tell whether court victories won by social movements for AIDS medicines and housing access represent a more durable pattern, one that justifies such rights talk, or whether the defeat of the Soweto water-rights movement is more typical. Sceptics of rights talk suggest, instead, a ‘Commons’ strategy, by way of resource sharing and illegal commandeering of water pipes and electricity lines during times of crisis (Desai 2002, Bond 2002, Naidoo 2009, Ngwane 2009). This is a very different commons, of course, than the more decentralized—and thus potentially neoliberal—strategy proposed for public service provision and smaller, autonomous units by Ostrom (see Harvey 2012:70 for a critique).</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 challenge for South Africans committed to a different society, economy, and city is combining requisite humility based upon the limited gains social movements have won so far (in many cases matched by regular defeats on economic terrain) with the soaring ambitions required to match the scale of the systemic crisis and the extent of social protest. Looking retrospectively, it is easy to see that the independent left—radical urban social movements, the landless movement, serious environmentalists and the left intelligentsia—peaked too early, in the impressive marches against Durban’s World </w:t>
      </w:r>
      <w:r w:rsidRPr="004D46FC">
        <w:rPr>
          <w:rFonts w:ascii="Cambria" w:eastAsia="Times New Roman" w:hAnsi="Cambria" w:cs="Times New Roman"/>
          <w:sz w:val="24"/>
          <w:szCs w:val="24"/>
        </w:rPr>
        <w:lastRenderedPageBreak/>
        <w:t xml:space="preserve">Conference </w:t>
      </w:r>
      <w:proofErr w:type="gramStart"/>
      <w:r w:rsidRPr="004D46FC">
        <w:rPr>
          <w:rFonts w:ascii="Cambria" w:eastAsia="Times New Roman" w:hAnsi="Cambria" w:cs="Times New Roman"/>
          <w:sz w:val="24"/>
          <w:szCs w:val="24"/>
        </w:rPr>
        <w:t>Against</w:t>
      </w:r>
      <w:proofErr w:type="gramEnd"/>
      <w:r w:rsidRPr="004D46FC">
        <w:rPr>
          <w:rFonts w:ascii="Cambria" w:eastAsia="Times New Roman" w:hAnsi="Cambria" w:cs="Times New Roman"/>
          <w:sz w:val="24"/>
          <w:szCs w:val="24"/>
        </w:rPr>
        <w:t xml:space="preserve"> Racism in 2001 and Johannesburg’s World Summit on Sustainable Development in 2002. The 2003 protests against the US and UK for the Iraq war were impressive, too. But in retrospect, although in each case they out-organized the Alliance (i.e. the ruling nationalists, the trade unionists and the SA Communist Party), the harsh reality of weak local organization outside the three largest cities—plus interminable splits within the community, labor and environmental left—allowed for a steady decline in subsequent years.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The irony is that the upsurge of recent protest of a ‘popcorn’ character—i.e., rising quickly in all directions but then immediately subsiding—screams out for the kind of organization that once worked so well in parts of Johannesburg, Durban, and Cape Town. The radical urban movements have not jumped in to effectively marshal or even join the thousands of ‘service delivery protests’ and trade union strikes and student revolts and environmental critiques of the past years. The independent left’s organizers and intelligentsia have so far been unable to inject a structural analysis into the protest narratives, or to help network this discontent.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Moreover, there are ideological, strategic, and material problems that South Africa’s independent left has failed to overcome, including the division between autonomist and socialist currents, and the lack of mutual respect for various left traditions, including Trotskyism, anarchism, Black Consciousness and feminism. A synthetic approach still appears impossible. For example, one strategic problem—capable of dividing major urban social movements—is whether to field candidates at elections. Another problem is the independent left’s reliance upon a few radical funding sources instead of following trade union traditions by raising funds from members (the willingness of German voters to vote Die Linke may have more than a little influence on the South African left).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hAnsi="Cambria"/>
          <w:sz w:val="24"/>
          <w:szCs w:val="24"/>
        </w:rPr>
      </w:pPr>
      <w:r w:rsidRPr="004D46FC">
        <w:rPr>
          <w:rFonts w:ascii="Cambria" w:eastAsia="Times New Roman" w:hAnsi="Cambria" w:cs="Times New Roman"/>
          <w:sz w:val="24"/>
          <w:szCs w:val="24"/>
        </w:rPr>
        <w:t xml:space="preserve">By all accounts, the crucial leap forward comes when leftist trade unions and the more serious South African Communist Party members ally with the independent left. The left within the Congress of South African Trade Unions (Cosatu), especially in the 350,000-member National Union of Metalworkers of South Africa (Numsa), reached the limits of their project within the Alliance in late 2013. By 2014, the more conservative federation leadership had fired its leftist secretary general, Zwelinzima Vavi (on the pretext of a sex scandal), and a legalistic reinstatement in 2015 proved temporary. By 2016, Vavi was working hard to start a new federation so as to draw in many more members than are available in the traditional metal sectors. Numsa is agitating that a workers’ party be formed to contest the 2019 national elections. Meantime, the African National Congress Youth League’s leader Julius Malema was expelled in 2012 and by 2014 had won 6 percent of the national vote for his fearless Economic Freedom Fighters (EFF), as the first serious parliamentary opponents of the ANC. In the 2016 municipal elections he raised this to 8.4 percent, which allowed the EFF to vote the ANC out of power in the vital cities of Johannesburg and the capital of Pretoria (leading to a period of centre-right urban management with far less corruption than during the ANC’s rule). Add to the mix the dubious legitimacy of President Jacob Zuma and the economic crisis associated with the rapid fall in mining commodities (e.g. coal and platinum by more than half in the five years after mid-2011) and in approval of ANC neoliberalism by the main credit rating agencies. This is a fluid situation — one in which the distinction between Rights Talk and Commoning is less vital in macro-politics. </w:t>
      </w:r>
    </w:p>
    <w:p w:rsidR="00EB690C" w:rsidRPr="004D46FC" w:rsidRDefault="00EB690C" w:rsidP="00EB690C">
      <w:pPr>
        <w:spacing w:after="0" w:line="240" w:lineRule="auto"/>
        <w:rPr>
          <w:rFonts w:ascii="Cambria" w:hAnsi="Cambria"/>
          <w:sz w:val="24"/>
          <w:szCs w:val="24"/>
        </w:rPr>
      </w:pPr>
    </w:p>
    <w:p w:rsidR="00EB690C" w:rsidRPr="004D46FC" w:rsidRDefault="00EB690C" w:rsidP="00EB690C">
      <w:pPr>
        <w:spacing w:after="0" w:line="240" w:lineRule="auto"/>
        <w:rPr>
          <w:rFonts w:ascii="Cambria" w:eastAsia="Times New Roman" w:hAnsi="Cambria" w:cs="Times New Roman"/>
          <w:sz w:val="24"/>
          <w:szCs w:val="24"/>
        </w:rPr>
      </w:pPr>
      <w:r w:rsidRPr="004D46FC">
        <w:rPr>
          <w:rFonts w:ascii="Cambria" w:eastAsia="Times New Roman" w:hAnsi="Cambria" w:cs="Times New Roman"/>
          <w:sz w:val="24"/>
          <w:szCs w:val="24"/>
        </w:rPr>
        <w:lastRenderedPageBreak/>
        <w:t xml:space="preserve">Yet it is in South Africa’s intense confrontations during capitalist crisis that we may soon see, as we did in the mid-1980s and early 2000s, a resurgence of perhaps the world’s most impressive urban social movements along with metalworkers and other radical trade unionists, Economic Freedom Fights, university students, feminists, environmentalists and others (Bond 2014, 2016). They will have less and less satisfaction with constitutionalism, as the courts protect property in times of stress, and give credence to the police push-back on protest (from 2005 to 2015, the number of ‘violent protests’ had risen from 600 per year to more than 2,200, according to the main source of that violence, the police themselves). En route, the society is girding for degeneration into far worse conditions than even now prevail, in a post-apartheid South Africa more economically unequal, more environmentally unsustainable, and more justified in fostering anger-ridden grassroots expectations than during apartheid itself. One of the central questions, once dust settles following battle after battle and </w:t>
      </w:r>
      <w:proofErr w:type="gramStart"/>
      <w:r w:rsidRPr="004D46FC">
        <w:rPr>
          <w:rFonts w:ascii="Cambria" w:eastAsia="Times New Roman" w:hAnsi="Cambria" w:cs="Times New Roman"/>
          <w:sz w:val="24"/>
          <w:szCs w:val="24"/>
        </w:rPr>
        <w:t>activists compare notes, is</w:t>
      </w:r>
      <w:proofErr w:type="gramEnd"/>
      <w:r w:rsidRPr="004D46FC">
        <w:rPr>
          <w:rFonts w:ascii="Cambria" w:eastAsia="Times New Roman" w:hAnsi="Cambria" w:cs="Times New Roman"/>
          <w:sz w:val="24"/>
          <w:szCs w:val="24"/>
        </w:rPr>
        <w:t xml:space="preserve"> whether the cadres persist with rights talk, or move </w:t>
      </w:r>
      <w:r w:rsidRPr="004D46FC">
        <w:rPr>
          <w:rFonts w:ascii="Cambria" w:eastAsia="Times New Roman" w:hAnsi="Cambria" w:cs="Times New Roman"/>
          <w:i/>
          <w:sz w:val="24"/>
          <w:szCs w:val="24"/>
        </w:rPr>
        <w:t xml:space="preserve">through rights to the Commons, </w:t>
      </w:r>
      <w:r w:rsidRPr="004D46FC">
        <w:rPr>
          <w:rFonts w:ascii="Cambria" w:eastAsia="Times New Roman" w:hAnsi="Cambria" w:cs="Times New Roman"/>
          <w:sz w:val="24"/>
          <w:szCs w:val="24"/>
        </w:rPr>
        <w:t xml:space="preserve">and then travel </w:t>
      </w:r>
      <w:r w:rsidRPr="004D46FC">
        <w:rPr>
          <w:rFonts w:ascii="Cambria" w:eastAsia="Times New Roman" w:hAnsi="Cambria" w:cs="Times New Roman"/>
          <w:i/>
          <w:sz w:val="24"/>
          <w:szCs w:val="24"/>
        </w:rPr>
        <w:t xml:space="preserve">beyond Ostrom </w:t>
      </w:r>
      <w:r w:rsidRPr="004D46FC">
        <w:rPr>
          <w:rFonts w:ascii="Cambria" w:eastAsia="Times New Roman" w:hAnsi="Cambria" w:cs="Times New Roman"/>
          <w:sz w:val="24"/>
          <w:szCs w:val="24"/>
        </w:rPr>
        <w:t>to a Commoning that is eco-socialist in character.</w:t>
      </w:r>
    </w:p>
    <w:p w:rsidR="00EB690C" w:rsidRPr="004D46FC" w:rsidRDefault="00EB690C" w:rsidP="00EB690C">
      <w:pPr>
        <w:spacing w:after="0" w:line="240" w:lineRule="auto"/>
        <w:rPr>
          <w:rFonts w:ascii="Cambria" w:hAnsi="Cambria"/>
          <w:sz w:val="24"/>
          <w:szCs w:val="24"/>
        </w:rPr>
      </w:pPr>
    </w:p>
    <w:p w:rsidR="00EB690C" w:rsidRPr="006A3393" w:rsidRDefault="00EB690C" w:rsidP="00EB690C">
      <w:pPr>
        <w:spacing w:after="0" w:line="240" w:lineRule="auto"/>
        <w:rPr>
          <w:rFonts w:ascii="Cambria" w:hAnsi="Cambria" w:cs="Lao UI"/>
          <w:sz w:val="20"/>
          <w:szCs w:val="20"/>
        </w:rPr>
      </w:pPr>
      <w:r w:rsidRPr="006A3393">
        <w:rPr>
          <w:rFonts w:ascii="Cambria" w:eastAsia="Times New Roman" w:hAnsi="Cambria" w:cs="Lao UI"/>
          <w:b/>
          <w:sz w:val="20"/>
          <w:szCs w:val="20"/>
        </w:rPr>
        <w:t xml:space="preserve">References </w:t>
      </w:r>
    </w:p>
    <w:p w:rsidR="00EB690C" w:rsidRPr="006A3393" w:rsidRDefault="00EB690C" w:rsidP="00EB690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Bailey, R. and C. Buckley (2005), ‘Modeling Domestic Water Tariffs’, Presentation to the University of KwaZulu-Natal Centre for Civil Society, Durban, 7 November. </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Bakker, K. (2007), ‘The “Commons” Versus the “Commodity”: Alter-globalization, Anti-privatization and the Human Right to Water in the Global South’. </w:t>
      </w:r>
      <w:proofErr w:type="gramStart"/>
      <w:r w:rsidRPr="006A3393">
        <w:rPr>
          <w:rFonts w:ascii="Cambria" w:eastAsia="Times New Roman" w:hAnsi="Cambria" w:cs="Lao UI"/>
          <w:i/>
          <w:sz w:val="20"/>
          <w:szCs w:val="20"/>
        </w:rPr>
        <w:t xml:space="preserve">Antipode, </w:t>
      </w:r>
      <w:r w:rsidRPr="006A3393">
        <w:rPr>
          <w:rFonts w:ascii="Cambria" w:eastAsia="Times New Roman" w:hAnsi="Cambria" w:cs="Lao UI"/>
          <w:sz w:val="20"/>
          <w:szCs w:val="20"/>
        </w:rPr>
        <w:t>vol 39, no 3, pp430-455.</w:t>
      </w:r>
      <w:proofErr w:type="gramEnd"/>
    </w:p>
    <w:p w:rsidR="00EB690C" w:rsidRPr="006A3393" w:rsidRDefault="00EB690C" w:rsidP="00EB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540"/>
        <w:rPr>
          <w:rFonts w:ascii="Cambria" w:hAnsi="Cambria" w:cs="Lao UI"/>
          <w:sz w:val="20"/>
          <w:szCs w:val="20"/>
        </w:rPr>
      </w:pPr>
      <w:r w:rsidRPr="006A3393">
        <w:rPr>
          <w:rFonts w:ascii="Cambria" w:eastAsia="Times New Roman" w:hAnsi="Cambria" w:cs="Lao UI"/>
          <w:sz w:val="20"/>
          <w:szCs w:val="20"/>
        </w:rPr>
        <w:t xml:space="preserve">Bond, P. (2000), </w:t>
      </w:r>
      <w:r w:rsidRPr="006A3393">
        <w:rPr>
          <w:rFonts w:ascii="Cambria" w:eastAsia="Times New Roman" w:hAnsi="Cambria" w:cs="Lao UI"/>
          <w:i/>
          <w:sz w:val="20"/>
          <w:szCs w:val="20"/>
        </w:rPr>
        <w:t xml:space="preserve">Cities of Gold, Townships of Coal, </w:t>
      </w:r>
      <w:r w:rsidRPr="006A3393">
        <w:rPr>
          <w:rFonts w:ascii="Cambria" w:eastAsia="Times New Roman" w:hAnsi="Cambria" w:cs="Lao UI"/>
          <w:sz w:val="20"/>
          <w:szCs w:val="20"/>
        </w:rPr>
        <w:t>Africa World Press, Trenton.</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Bond, P. (2002), </w:t>
      </w:r>
      <w:r w:rsidRPr="006A3393">
        <w:rPr>
          <w:rFonts w:ascii="Cambria" w:eastAsia="Times New Roman" w:hAnsi="Cambria" w:cs="Lao UI"/>
          <w:i/>
          <w:sz w:val="20"/>
          <w:szCs w:val="20"/>
        </w:rPr>
        <w:t xml:space="preserve">Unsustainable South Africa, </w:t>
      </w:r>
      <w:r w:rsidRPr="006A3393">
        <w:rPr>
          <w:rFonts w:ascii="Cambria" w:eastAsia="Times New Roman" w:hAnsi="Cambria" w:cs="Lao UI"/>
          <w:sz w:val="20"/>
          <w:szCs w:val="20"/>
        </w:rPr>
        <w:t>Merlin Press, London.</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Bond, P. (2006), </w:t>
      </w:r>
      <w:r w:rsidRPr="006A3393">
        <w:rPr>
          <w:rFonts w:ascii="Cambria" w:eastAsia="Times New Roman" w:hAnsi="Cambria" w:cs="Lao UI"/>
          <w:i/>
          <w:sz w:val="20"/>
          <w:szCs w:val="20"/>
        </w:rPr>
        <w:t>Talk Left Walk Right,</w:t>
      </w:r>
      <w:r w:rsidRPr="006A3393">
        <w:rPr>
          <w:rFonts w:ascii="Cambria" w:eastAsia="Times New Roman" w:hAnsi="Cambria" w:cs="Lao UI"/>
          <w:sz w:val="20"/>
          <w:szCs w:val="20"/>
        </w:rPr>
        <w:t xml:space="preserve"> University of KwaZulu-Natal Press, Pietermaritzburg.</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Bond, P. (2011), ‘A Run on Grameen Bank’s Integrity.’ </w:t>
      </w:r>
      <w:r w:rsidRPr="006A3393">
        <w:rPr>
          <w:rFonts w:ascii="Cambria" w:eastAsia="Times New Roman" w:hAnsi="Cambria" w:cs="Lao UI"/>
          <w:i/>
          <w:sz w:val="20"/>
          <w:szCs w:val="20"/>
        </w:rPr>
        <w:t xml:space="preserve">Counterpunch, </w:t>
      </w:r>
      <w:r w:rsidRPr="006A3393">
        <w:rPr>
          <w:rFonts w:ascii="Cambria" w:eastAsia="Times New Roman" w:hAnsi="Cambria" w:cs="Lao UI"/>
          <w:sz w:val="20"/>
          <w:szCs w:val="20"/>
        </w:rPr>
        <w:t xml:space="preserve">27 April. http://www.counterpunch.org/2011/04/27/a-run-on-grameen-bank-s-integrity/ </w:t>
      </w:r>
    </w:p>
    <w:p w:rsidR="00EB690C" w:rsidRPr="006A3393" w:rsidRDefault="00EB690C" w:rsidP="00EB690C">
      <w:pPr>
        <w:spacing w:after="0" w:line="240" w:lineRule="auto"/>
        <w:ind w:left="284" w:hanging="284"/>
        <w:rPr>
          <w:rFonts w:ascii="Cambria" w:eastAsia="Times New Roman" w:hAnsi="Cambria" w:cs="Lao UI"/>
          <w:sz w:val="20"/>
          <w:szCs w:val="20"/>
        </w:rPr>
      </w:pPr>
      <w:r w:rsidRPr="006A3393">
        <w:rPr>
          <w:rFonts w:ascii="Cambria" w:eastAsia="Times New Roman" w:hAnsi="Cambria" w:cs="Lao UI"/>
          <w:sz w:val="20"/>
          <w:szCs w:val="20"/>
        </w:rPr>
        <w:t xml:space="preserve">Bond, P. (2014), </w:t>
      </w:r>
      <w:r w:rsidRPr="006A3393">
        <w:rPr>
          <w:rFonts w:ascii="Cambria" w:eastAsia="Times New Roman" w:hAnsi="Cambria" w:cs="Lao UI"/>
          <w:i/>
          <w:sz w:val="20"/>
          <w:szCs w:val="20"/>
        </w:rPr>
        <w:t xml:space="preserve">Elite Transition, </w:t>
      </w:r>
      <w:r w:rsidRPr="006A3393">
        <w:rPr>
          <w:rFonts w:ascii="Cambria" w:eastAsia="Times New Roman" w:hAnsi="Cambria" w:cs="Lao UI"/>
          <w:sz w:val="20"/>
          <w:szCs w:val="20"/>
        </w:rPr>
        <w:t>London, Pluto Press.</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Bond, P. (2016), ‘</w:t>
      </w:r>
      <w:r w:rsidRPr="006A3393">
        <w:rPr>
          <w:rFonts w:ascii="Cambria" w:hAnsi="Cambria"/>
          <w:sz w:val="20"/>
          <w:szCs w:val="20"/>
        </w:rPr>
        <w:t xml:space="preserve">South Africa’s Next Revolt: Eco-Socialist Opportunities.’ in L.Panitch and G.Albo (Eds), </w:t>
      </w:r>
      <w:r w:rsidRPr="006A3393">
        <w:rPr>
          <w:rFonts w:ascii="Cambria" w:hAnsi="Cambria"/>
          <w:i/>
          <w:sz w:val="20"/>
          <w:szCs w:val="20"/>
        </w:rPr>
        <w:t xml:space="preserve">Socialist Register 2017, </w:t>
      </w:r>
      <w:r w:rsidRPr="006A3393">
        <w:rPr>
          <w:rFonts w:ascii="Cambria" w:hAnsi="Cambria"/>
          <w:sz w:val="20"/>
          <w:szCs w:val="20"/>
        </w:rPr>
        <w:t>London: Merlin Press.</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Bond, P. and J. Dugard (2008), ‘</w:t>
      </w:r>
      <w:proofErr w:type="gramStart"/>
      <w:r w:rsidRPr="006A3393">
        <w:rPr>
          <w:rFonts w:ascii="Cambria" w:eastAsia="Times New Roman" w:hAnsi="Cambria" w:cs="Lao UI"/>
          <w:sz w:val="20"/>
          <w:szCs w:val="20"/>
        </w:rPr>
        <w:t>The</w:t>
      </w:r>
      <w:proofErr w:type="gramEnd"/>
      <w:r w:rsidRPr="006A3393">
        <w:rPr>
          <w:rFonts w:ascii="Cambria" w:eastAsia="Times New Roman" w:hAnsi="Cambria" w:cs="Lao UI"/>
          <w:sz w:val="20"/>
          <w:szCs w:val="20"/>
        </w:rPr>
        <w:t xml:space="preserve"> Case of Johannesburg Water: What Really Happened at the Pre-paid ‘Parish Pump’’. </w:t>
      </w:r>
      <w:proofErr w:type="gramStart"/>
      <w:r w:rsidRPr="006A3393">
        <w:rPr>
          <w:rFonts w:ascii="Cambria" w:eastAsia="Times New Roman" w:hAnsi="Cambria" w:cs="Lao UI"/>
          <w:i/>
          <w:sz w:val="20"/>
          <w:szCs w:val="20"/>
        </w:rPr>
        <w:t xml:space="preserve">Law, Democracy and Development, </w:t>
      </w:r>
      <w:r w:rsidRPr="006A3393">
        <w:rPr>
          <w:rFonts w:ascii="Cambria" w:eastAsia="Times New Roman" w:hAnsi="Cambria" w:cs="Lao UI"/>
          <w:sz w:val="20"/>
          <w:szCs w:val="20"/>
        </w:rPr>
        <w:t>vol 12, no 1, pp1-28.</w:t>
      </w:r>
      <w:proofErr w:type="gramEnd"/>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Brand, D. (2005), ‘The Politics of Need Interpretation and the Adjudication of Socio-Economic Rights Claims in South Africa,’ in A.J.van der Walt (ed), </w:t>
      </w:r>
      <w:r w:rsidRPr="006A3393">
        <w:rPr>
          <w:rFonts w:ascii="Cambria" w:eastAsia="Times New Roman" w:hAnsi="Cambria" w:cs="Lao UI"/>
          <w:i/>
          <w:sz w:val="20"/>
          <w:szCs w:val="20"/>
        </w:rPr>
        <w:t xml:space="preserve">Theories of Social and Economic Justice, </w:t>
      </w:r>
      <w:r w:rsidRPr="006A3393">
        <w:rPr>
          <w:rFonts w:ascii="Cambria" w:eastAsia="Times New Roman" w:hAnsi="Cambria" w:cs="Lao UI"/>
          <w:sz w:val="20"/>
          <w:szCs w:val="20"/>
        </w:rPr>
        <w:t>Stellenbosch University Press, Stellenbosch.</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Budlender, G. (2002), ‘A Paper Dog with Real Teeth’, </w:t>
      </w:r>
      <w:r w:rsidRPr="006A3393">
        <w:rPr>
          <w:rFonts w:ascii="Cambria" w:eastAsia="Times New Roman" w:hAnsi="Cambria" w:cs="Lao UI"/>
          <w:i/>
          <w:sz w:val="20"/>
          <w:szCs w:val="20"/>
        </w:rPr>
        <w:t>Mail&amp;Guardian</w:t>
      </w:r>
      <w:r w:rsidRPr="006A3393">
        <w:rPr>
          <w:rFonts w:ascii="Cambria" w:eastAsia="Times New Roman" w:hAnsi="Cambria" w:cs="Lao UI"/>
          <w:sz w:val="20"/>
          <w:szCs w:val="20"/>
        </w:rPr>
        <w:t>, 12 July.</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Burgess, R. (1978), ‘Petty Ccommodity Housing or Dweller Control</w:t>
      </w:r>
      <w:proofErr w:type="gramStart"/>
      <w:r w:rsidRPr="006A3393">
        <w:rPr>
          <w:rFonts w:ascii="Cambria" w:eastAsia="Times New Roman" w:hAnsi="Cambria" w:cs="Lao UI"/>
          <w:sz w:val="20"/>
          <w:szCs w:val="20"/>
        </w:rPr>
        <w:t>?,</w:t>
      </w:r>
      <w:proofErr w:type="gramEnd"/>
      <w:r w:rsidRPr="006A3393">
        <w:rPr>
          <w:rFonts w:ascii="Cambria" w:eastAsia="Times New Roman" w:hAnsi="Cambria" w:cs="Lao UI"/>
          <w:sz w:val="20"/>
          <w:szCs w:val="20"/>
        </w:rPr>
        <w:t xml:space="preserve">’ </w:t>
      </w:r>
      <w:r w:rsidRPr="006A3393">
        <w:rPr>
          <w:rFonts w:ascii="Cambria" w:eastAsia="Times New Roman" w:hAnsi="Cambria" w:cs="Lao UI"/>
          <w:i/>
          <w:sz w:val="20"/>
          <w:szCs w:val="20"/>
        </w:rPr>
        <w:t>World Development</w:t>
      </w:r>
      <w:r w:rsidRPr="006A3393">
        <w:rPr>
          <w:rFonts w:ascii="Cambria" w:eastAsia="Times New Roman" w:hAnsi="Cambria" w:cs="Lao UI"/>
          <w:sz w:val="20"/>
          <w:szCs w:val="20"/>
        </w:rPr>
        <w:t>, vol 6, no 9/l 0, pp1105-l 133.</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Coalition </w:t>
      </w:r>
      <w:proofErr w:type="gramStart"/>
      <w:r w:rsidRPr="006A3393">
        <w:rPr>
          <w:rFonts w:ascii="Cambria" w:eastAsia="Times New Roman" w:hAnsi="Cambria" w:cs="Lao UI"/>
          <w:sz w:val="20"/>
          <w:szCs w:val="20"/>
        </w:rPr>
        <w:t>Against</w:t>
      </w:r>
      <w:proofErr w:type="gramEnd"/>
      <w:r w:rsidRPr="006A3393">
        <w:rPr>
          <w:rFonts w:ascii="Cambria" w:eastAsia="Times New Roman" w:hAnsi="Cambria" w:cs="Lao UI"/>
          <w:sz w:val="20"/>
          <w:szCs w:val="20"/>
        </w:rPr>
        <w:t xml:space="preserve"> Water Privatization (2009), ‘Press Statement: “Phiri Water case: Constitutional Court Fails the Poor and the Constitution”,’ Johannesburg, 2 October.</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Danchin, P. (2010), ‘A Human Right to Water? </w:t>
      </w:r>
      <w:proofErr w:type="gramStart"/>
      <w:r w:rsidRPr="006A3393">
        <w:rPr>
          <w:rFonts w:ascii="Cambria" w:eastAsia="Times New Roman" w:hAnsi="Cambria" w:cs="Lao UI"/>
          <w:sz w:val="20"/>
          <w:szCs w:val="20"/>
        </w:rPr>
        <w:t xml:space="preserve">The South African Constitutional Court’s Decision in the Mazibuko Case’, </w:t>
      </w:r>
      <w:r w:rsidRPr="006A3393">
        <w:rPr>
          <w:rFonts w:ascii="Cambria" w:eastAsia="Times New Roman" w:hAnsi="Cambria" w:cs="Lao UI"/>
          <w:i/>
          <w:sz w:val="20"/>
          <w:szCs w:val="20"/>
        </w:rPr>
        <w:t>EJIL Talk, European Journal of International Law</w:t>
      </w:r>
      <w:r w:rsidRPr="006A3393">
        <w:rPr>
          <w:rFonts w:ascii="Cambria" w:eastAsia="Times New Roman" w:hAnsi="Cambria" w:cs="Lao UI"/>
          <w:sz w:val="20"/>
          <w:szCs w:val="20"/>
        </w:rPr>
        <w:t xml:space="preserve">, 13 January, </w:t>
      </w:r>
      <w:hyperlink r:id="rId6">
        <w:r w:rsidRPr="006A3393">
          <w:rPr>
            <w:rStyle w:val="InternetLink"/>
            <w:rFonts w:ascii="Cambria" w:eastAsia="Times New Roman" w:hAnsi="Cambria" w:cs="Lao UI"/>
            <w:sz w:val="20"/>
            <w:szCs w:val="20"/>
          </w:rPr>
          <w:t>www.ejiltalk.org/a-human-right-to-water-the-south-african-constitutional-court’s-decision-in-the-mazibuko-case</w:t>
        </w:r>
      </w:hyperlink>
      <w:r w:rsidRPr="006A3393">
        <w:rPr>
          <w:rFonts w:ascii="Cambria" w:eastAsia="Times New Roman" w:hAnsi="Cambria" w:cs="Lao UI"/>
          <w:i/>
          <w:sz w:val="20"/>
          <w:szCs w:val="20"/>
        </w:rPr>
        <w:t>.</w:t>
      </w:r>
      <w:proofErr w:type="gramEnd"/>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Desai, A. (2010), ‘The State of the Social Movements’, Presented to the CCS/Wolpe Lecture Panel ‘Social justice ideas in civil society politics, global and local: A colloquium of scholar-activists’, Centre for Civil Society, Durban, 29 July.</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Dugard, J. (2010a), ‘Civic Action and Legal Mobilisation: The Phiri Water Meters Case’, in J.Handmaker and R. Berkhout (eds), </w:t>
      </w:r>
      <w:r w:rsidRPr="006A3393">
        <w:rPr>
          <w:rFonts w:ascii="Cambria" w:eastAsia="Times New Roman" w:hAnsi="Cambria" w:cs="Lao UI"/>
          <w:i/>
          <w:sz w:val="20"/>
          <w:szCs w:val="20"/>
        </w:rPr>
        <w:t>Mobilising Social Justice in South Africa Perspectives from Researchers and Practitioners</w:t>
      </w:r>
      <w:r w:rsidRPr="006A3393">
        <w:rPr>
          <w:rFonts w:ascii="Cambria" w:eastAsia="Times New Roman" w:hAnsi="Cambria" w:cs="Lao UI"/>
          <w:sz w:val="20"/>
          <w:szCs w:val="20"/>
        </w:rPr>
        <w:t>, Pretoria University Law Press, Pretoria.</w:t>
      </w:r>
    </w:p>
    <w:p w:rsidR="00EB690C" w:rsidRPr="006A3393" w:rsidRDefault="00EB690C" w:rsidP="00EB690C">
      <w:pPr>
        <w:spacing w:after="0" w:line="240" w:lineRule="auto"/>
        <w:ind w:left="284" w:hanging="284"/>
        <w:rPr>
          <w:rFonts w:ascii="Cambria" w:hAnsi="Cambria" w:cs="Lao UI"/>
          <w:sz w:val="20"/>
          <w:szCs w:val="20"/>
        </w:rPr>
      </w:pPr>
      <w:proofErr w:type="gramStart"/>
      <w:r w:rsidRPr="006A3393">
        <w:rPr>
          <w:rFonts w:ascii="Cambria" w:eastAsia="Times New Roman" w:hAnsi="Cambria" w:cs="Lao UI"/>
          <w:sz w:val="20"/>
          <w:szCs w:val="20"/>
        </w:rPr>
        <w:t xml:space="preserve">Dugard, J. (2010b), ‘Reply’, </w:t>
      </w:r>
      <w:r w:rsidRPr="006A3393">
        <w:rPr>
          <w:rFonts w:ascii="Cambria" w:eastAsia="Times New Roman" w:hAnsi="Cambria" w:cs="Lao UI"/>
          <w:i/>
          <w:sz w:val="20"/>
          <w:szCs w:val="20"/>
        </w:rPr>
        <w:t>EJIL Talk, European Journal of International Law</w:t>
      </w:r>
      <w:r w:rsidRPr="006A3393">
        <w:rPr>
          <w:rFonts w:ascii="Cambria" w:eastAsia="Times New Roman" w:hAnsi="Cambria" w:cs="Lao UI"/>
          <w:sz w:val="20"/>
          <w:szCs w:val="20"/>
        </w:rPr>
        <w:t>, 17 April, www.ejiltalk.org/a-human-right-to-water-the-south-african-constitutional-court’s-decision-in-the-mazibuko-case</w:t>
      </w:r>
      <w:r w:rsidRPr="006A3393">
        <w:rPr>
          <w:rFonts w:ascii="Cambria" w:eastAsia="Times New Roman" w:hAnsi="Cambria" w:cs="Lao UI"/>
          <w:i/>
          <w:sz w:val="20"/>
          <w:szCs w:val="20"/>
        </w:rPr>
        <w:t>.</w:t>
      </w:r>
      <w:proofErr w:type="gramEnd"/>
    </w:p>
    <w:p w:rsidR="00EB690C" w:rsidRPr="006A3393" w:rsidRDefault="00EB690C" w:rsidP="00EB690C">
      <w:pPr>
        <w:spacing w:after="0" w:line="240" w:lineRule="auto"/>
        <w:rPr>
          <w:rFonts w:ascii="Cambria" w:hAnsi="Cambria" w:cs="Lao UI"/>
          <w:sz w:val="20"/>
          <w:szCs w:val="20"/>
        </w:rPr>
      </w:pPr>
      <w:proofErr w:type="gramStart"/>
      <w:r w:rsidRPr="006A3393">
        <w:rPr>
          <w:rFonts w:ascii="Cambria" w:eastAsia="Times New Roman" w:hAnsi="Cambria" w:cs="Lao UI"/>
          <w:sz w:val="20"/>
          <w:szCs w:val="20"/>
        </w:rPr>
        <w:t xml:space="preserve">Global Health Watch (2005), </w:t>
      </w:r>
      <w:r w:rsidRPr="006A3393">
        <w:rPr>
          <w:rFonts w:ascii="Cambria" w:eastAsia="Times New Roman" w:hAnsi="Cambria" w:cs="Lao UI"/>
          <w:i/>
          <w:sz w:val="20"/>
          <w:szCs w:val="20"/>
        </w:rPr>
        <w:t xml:space="preserve">Global Health Watch, </w:t>
      </w:r>
      <w:r w:rsidRPr="006A3393">
        <w:rPr>
          <w:rFonts w:ascii="Cambria" w:eastAsia="Times New Roman" w:hAnsi="Cambria" w:cs="Lao UI"/>
          <w:sz w:val="20"/>
          <w:szCs w:val="20"/>
        </w:rPr>
        <w:t>Zed Books, London.</w:t>
      </w:r>
      <w:proofErr w:type="gramEnd"/>
    </w:p>
    <w:p w:rsidR="00EB690C" w:rsidRPr="006A3393" w:rsidRDefault="00EB690C" w:rsidP="00EB690C">
      <w:pPr>
        <w:spacing w:after="0" w:line="240" w:lineRule="auto"/>
        <w:ind w:left="284" w:hanging="284"/>
        <w:rPr>
          <w:rFonts w:ascii="Cambria" w:hAnsi="Cambria" w:cs="Lao UI"/>
          <w:sz w:val="20"/>
          <w:szCs w:val="20"/>
        </w:rPr>
      </w:pPr>
      <w:proofErr w:type="gramStart"/>
      <w:r w:rsidRPr="006A3393">
        <w:rPr>
          <w:rFonts w:ascii="Cambria" w:eastAsia="Times New Roman" w:hAnsi="Cambria" w:cs="Lao UI"/>
          <w:sz w:val="20"/>
          <w:szCs w:val="20"/>
        </w:rPr>
        <w:t xml:space="preserve">Harvey, D. (2008), ‘The Right to the City’, </w:t>
      </w:r>
      <w:r w:rsidRPr="006A3393">
        <w:rPr>
          <w:rFonts w:ascii="Cambria" w:eastAsia="Times New Roman" w:hAnsi="Cambria" w:cs="Lao UI"/>
          <w:i/>
          <w:sz w:val="20"/>
          <w:szCs w:val="20"/>
        </w:rPr>
        <w:t xml:space="preserve">New Left Review, </w:t>
      </w:r>
      <w:r w:rsidRPr="006A3393">
        <w:rPr>
          <w:rFonts w:ascii="Cambria" w:eastAsia="Times New Roman" w:hAnsi="Cambria" w:cs="Lao UI"/>
          <w:sz w:val="20"/>
          <w:szCs w:val="20"/>
        </w:rPr>
        <w:t>no</w:t>
      </w:r>
      <w:r w:rsidRPr="006A3393">
        <w:rPr>
          <w:rFonts w:ascii="Cambria" w:eastAsia="Times New Roman" w:hAnsi="Cambria" w:cs="Lao UI"/>
          <w:i/>
          <w:sz w:val="20"/>
          <w:szCs w:val="20"/>
        </w:rPr>
        <w:t xml:space="preserve"> </w:t>
      </w:r>
      <w:r w:rsidRPr="006A3393">
        <w:rPr>
          <w:rFonts w:ascii="Cambria" w:eastAsia="Times New Roman" w:hAnsi="Cambria" w:cs="Lao UI"/>
          <w:sz w:val="20"/>
          <w:szCs w:val="20"/>
        </w:rPr>
        <w:t>53, https://newleftreview.org/II/53/david-harvey-the-right-to-the-city.</w:t>
      </w:r>
      <w:proofErr w:type="gramEnd"/>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Harvey, D. (2009), Opening speech at the Urban Reform Tent. World Social Forum, Belem, 29 January.</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Harvey, D. (2012), </w:t>
      </w:r>
      <w:r w:rsidRPr="006A3393">
        <w:rPr>
          <w:rFonts w:ascii="Cambria" w:eastAsia="Times New Roman" w:hAnsi="Cambria" w:cs="Lao UI"/>
          <w:i/>
          <w:sz w:val="20"/>
          <w:szCs w:val="20"/>
        </w:rPr>
        <w:t xml:space="preserve">Rebel Cities, </w:t>
      </w:r>
      <w:r w:rsidRPr="006A3393">
        <w:rPr>
          <w:rFonts w:ascii="Cambria" w:eastAsia="Times New Roman" w:hAnsi="Cambria" w:cs="Lao UI"/>
          <w:sz w:val="20"/>
          <w:szCs w:val="20"/>
        </w:rPr>
        <w:t>London, Verso Press.</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lastRenderedPageBreak/>
        <w:t>Huchzermeyer, M. (2009), ‘Does Recent Litigation bring us any Closer to a Right to the City?’, Paper presented at the University of Johannesburg workshop on Intellectuals, ideology, protests and civil society, 30 October.</w:t>
      </w:r>
    </w:p>
    <w:p w:rsidR="00EB690C" w:rsidRPr="006A3393" w:rsidRDefault="00EB690C" w:rsidP="00EB690C">
      <w:pPr>
        <w:spacing w:after="0" w:line="240" w:lineRule="auto"/>
        <w:rPr>
          <w:rFonts w:ascii="Cambria" w:hAnsi="Cambria" w:cs="Lao UI"/>
          <w:sz w:val="20"/>
          <w:szCs w:val="20"/>
        </w:rPr>
      </w:pPr>
      <w:r w:rsidRPr="006A3393">
        <w:rPr>
          <w:rFonts w:ascii="Cambria" w:eastAsia="Times New Roman" w:hAnsi="Cambria" w:cs="Lao UI"/>
          <w:sz w:val="20"/>
          <w:szCs w:val="20"/>
        </w:rPr>
        <w:t xml:space="preserve">Pearlie Joubert, ‘Grootboom dies Homeless and </w:t>
      </w:r>
      <w:proofErr w:type="gramStart"/>
      <w:r w:rsidRPr="006A3393">
        <w:rPr>
          <w:rFonts w:ascii="Cambria" w:eastAsia="Times New Roman" w:hAnsi="Cambria" w:cs="Lao UI"/>
          <w:sz w:val="20"/>
          <w:szCs w:val="20"/>
        </w:rPr>
        <w:t>Penniless</w:t>
      </w:r>
      <w:proofErr w:type="gramEnd"/>
      <w:r w:rsidRPr="006A3393">
        <w:rPr>
          <w:rFonts w:ascii="Cambria" w:eastAsia="Times New Roman" w:hAnsi="Cambria" w:cs="Lao UI"/>
          <w:sz w:val="20"/>
          <w:szCs w:val="20"/>
        </w:rPr>
        <w:t xml:space="preserve">,’ </w:t>
      </w:r>
      <w:r w:rsidRPr="006A3393">
        <w:rPr>
          <w:rFonts w:ascii="Cambria" w:eastAsia="Times New Roman" w:hAnsi="Cambria" w:cs="Lao UI"/>
          <w:i/>
          <w:sz w:val="20"/>
          <w:szCs w:val="20"/>
        </w:rPr>
        <w:t xml:space="preserve">Mail&amp;Guardian, </w:t>
      </w:r>
      <w:r w:rsidRPr="006A3393">
        <w:rPr>
          <w:rFonts w:ascii="Cambria" w:eastAsia="Times New Roman" w:hAnsi="Cambria" w:cs="Lao UI"/>
          <w:sz w:val="20"/>
          <w:szCs w:val="20"/>
        </w:rPr>
        <w:t>8 August 2008.</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Lefebvre, H. (1996), </w:t>
      </w:r>
      <w:r w:rsidRPr="006A3393">
        <w:rPr>
          <w:rFonts w:ascii="Cambria" w:eastAsia="Times New Roman" w:hAnsi="Cambria" w:cs="Lao UI"/>
          <w:i/>
          <w:sz w:val="20"/>
          <w:szCs w:val="20"/>
        </w:rPr>
        <w:t xml:space="preserve">Writings on Cities, </w:t>
      </w:r>
      <w:r w:rsidRPr="006A3393">
        <w:rPr>
          <w:rFonts w:ascii="Cambria" w:eastAsia="Times New Roman" w:hAnsi="Cambria" w:cs="Lao UI"/>
          <w:sz w:val="20"/>
          <w:szCs w:val="20"/>
        </w:rPr>
        <w:t>Basil Blackwell, Oxford.</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Madlingozi, T. (2007), ‘Good Victim, Bad Victim: Apartheid’s Beneficiaries, Victims and the Struggle for Social Justice’, in W.le Roux and K.van Marle (</w:t>
      </w:r>
      <w:proofErr w:type="gramStart"/>
      <w:r w:rsidRPr="006A3393">
        <w:rPr>
          <w:rFonts w:ascii="Cambria" w:eastAsia="Times New Roman" w:hAnsi="Cambria" w:cs="Lao UI"/>
          <w:sz w:val="20"/>
          <w:szCs w:val="20"/>
        </w:rPr>
        <w:t>eds</w:t>
      </w:r>
      <w:proofErr w:type="gramEnd"/>
      <w:r w:rsidRPr="006A3393">
        <w:rPr>
          <w:rFonts w:ascii="Cambria" w:eastAsia="Times New Roman" w:hAnsi="Cambria" w:cs="Lao UI"/>
          <w:sz w:val="20"/>
          <w:szCs w:val="20"/>
        </w:rPr>
        <w:t xml:space="preserve">), </w:t>
      </w:r>
      <w:r w:rsidRPr="006A3393">
        <w:rPr>
          <w:rFonts w:ascii="Cambria" w:eastAsia="Times New Roman" w:hAnsi="Cambria" w:cs="Lao UI"/>
          <w:i/>
          <w:sz w:val="20"/>
          <w:szCs w:val="20"/>
        </w:rPr>
        <w:t xml:space="preserve">Law, memory and the legacy of apartheid: Ten years after AZAPO v President of South Africa. </w:t>
      </w:r>
      <w:r w:rsidRPr="006A3393">
        <w:rPr>
          <w:rFonts w:ascii="Cambria" w:eastAsia="Times New Roman" w:hAnsi="Cambria" w:cs="Lao UI"/>
          <w:sz w:val="20"/>
          <w:szCs w:val="20"/>
        </w:rPr>
        <w:t>Pretoria: University of Pretoria Press.</w:t>
      </w:r>
    </w:p>
    <w:p w:rsidR="00EB690C" w:rsidRPr="006A3393" w:rsidRDefault="00EB690C" w:rsidP="00EB690C">
      <w:pPr>
        <w:spacing w:after="0" w:line="240" w:lineRule="auto"/>
        <w:ind w:left="540" w:hanging="540"/>
        <w:rPr>
          <w:rFonts w:ascii="Cambria" w:hAnsi="Cambria" w:cs="Lao UI"/>
          <w:sz w:val="20"/>
          <w:szCs w:val="20"/>
        </w:rPr>
      </w:pPr>
      <w:proofErr w:type="gramStart"/>
      <w:r w:rsidRPr="006A3393">
        <w:rPr>
          <w:rFonts w:ascii="Cambria" w:eastAsia="Times New Roman" w:hAnsi="Cambria" w:cs="Lao UI"/>
          <w:sz w:val="20"/>
          <w:szCs w:val="20"/>
        </w:rPr>
        <w:t xml:space="preserve">Mayekiso, M. (1996), </w:t>
      </w:r>
      <w:r w:rsidRPr="006A3393">
        <w:rPr>
          <w:rFonts w:ascii="Cambria" w:eastAsia="Times New Roman" w:hAnsi="Cambria" w:cs="Lao UI"/>
          <w:i/>
          <w:sz w:val="20"/>
          <w:szCs w:val="20"/>
        </w:rPr>
        <w:t>Townships Politics.</w:t>
      </w:r>
      <w:proofErr w:type="gramEnd"/>
      <w:r w:rsidRPr="006A3393">
        <w:rPr>
          <w:rFonts w:ascii="Cambria" w:eastAsia="Times New Roman" w:hAnsi="Cambria" w:cs="Lao UI"/>
          <w:i/>
          <w:sz w:val="20"/>
          <w:szCs w:val="20"/>
        </w:rPr>
        <w:t xml:space="preserve"> </w:t>
      </w:r>
      <w:r w:rsidRPr="006A3393">
        <w:rPr>
          <w:rFonts w:ascii="Cambria" w:eastAsia="Times New Roman" w:hAnsi="Cambria" w:cs="Lao UI"/>
          <w:sz w:val="20"/>
          <w:szCs w:val="20"/>
        </w:rPr>
        <w:t>Monthly Review, New York.</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i/>
          <w:sz w:val="20"/>
          <w:szCs w:val="20"/>
        </w:rPr>
        <w:t xml:space="preserve">Mazibuko &amp; Others v the City of Johannesburg &amp; Others </w:t>
      </w:r>
      <w:r w:rsidRPr="006A3393">
        <w:rPr>
          <w:rFonts w:ascii="Cambria" w:eastAsia="Times New Roman" w:hAnsi="Cambria" w:cs="Lao UI"/>
          <w:sz w:val="20"/>
          <w:szCs w:val="20"/>
        </w:rPr>
        <w:t>(2008), Unreported case no 06/13865 in the Johannesburg High Court.</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Naidoo, P. (2009), ‘The Making of “The Poor” in Post-apartheid South Africa.’ Masters research thesis, University of KwaZulu-Natal School of Development Studies, Durban.</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Ngwane, T. (2009), ‘Ideology and Agency in Protest Politics.’ Masters research thesis proposal, University of KwaZulu-Natal School of Development Studies, Durban.</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Ostrom, E. (1990), </w:t>
      </w:r>
      <w:r w:rsidRPr="006A3393">
        <w:rPr>
          <w:rFonts w:ascii="Cambria" w:eastAsia="Times New Roman" w:hAnsi="Cambria" w:cs="Lao UI"/>
          <w:i/>
          <w:sz w:val="20"/>
          <w:szCs w:val="20"/>
        </w:rPr>
        <w:t>Governing the Commons: The Evolution of Institutions for Collective Action</w:t>
      </w:r>
      <w:r w:rsidRPr="006A3393">
        <w:rPr>
          <w:rFonts w:ascii="Cambria" w:eastAsia="Times New Roman" w:hAnsi="Cambria" w:cs="Lao UI"/>
          <w:sz w:val="20"/>
          <w:szCs w:val="20"/>
        </w:rPr>
        <w:t xml:space="preserve">, Cambridge, </w:t>
      </w:r>
      <w:proofErr w:type="gramStart"/>
      <w:r w:rsidRPr="006A3393">
        <w:rPr>
          <w:rFonts w:ascii="Cambria" w:eastAsia="Times New Roman" w:hAnsi="Cambria" w:cs="Lao UI"/>
          <w:sz w:val="20"/>
          <w:szCs w:val="20"/>
        </w:rPr>
        <w:t>Cambridge</w:t>
      </w:r>
      <w:proofErr w:type="gramEnd"/>
      <w:r w:rsidRPr="006A3393">
        <w:rPr>
          <w:rFonts w:ascii="Cambria" w:eastAsia="Times New Roman" w:hAnsi="Cambria" w:cs="Lao UI"/>
          <w:sz w:val="20"/>
          <w:szCs w:val="20"/>
        </w:rPr>
        <w:t xml:space="preserve"> University Press.</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Pieterse, M. (2007), ‘Eating Socioeconomic Rights: The Usefulness of Rights Talk in Alleviating Social Hardship Revisited.’ </w:t>
      </w:r>
      <w:proofErr w:type="gramStart"/>
      <w:r w:rsidRPr="006A3393">
        <w:rPr>
          <w:rFonts w:ascii="Cambria" w:eastAsia="Times New Roman" w:hAnsi="Cambria" w:cs="Lao UI"/>
          <w:i/>
          <w:sz w:val="20"/>
          <w:szCs w:val="20"/>
        </w:rPr>
        <w:t xml:space="preserve">Human Rights Quarterly, </w:t>
      </w:r>
      <w:r w:rsidRPr="006A3393">
        <w:rPr>
          <w:rFonts w:ascii="Cambria" w:eastAsia="Times New Roman" w:hAnsi="Cambria" w:cs="Lao UI"/>
          <w:sz w:val="20"/>
          <w:szCs w:val="20"/>
        </w:rPr>
        <w:t>29, pp.796-822.</w:t>
      </w:r>
      <w:proofErr w:type="gramEnd"/>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Republic of South Africa (1994), </w:t>
      </w:r>
      <w:r w:rsidRPr="006A3393">
        <w:rPr>
          <w:rFonts w:ascii="Cambria" w:eastAsia="Times New Roman" w:hAnsi="Cambria" w:cs="Lao UI"/>
          <w:i/>
          <w:sz w:val="20"/>
          <w:szCs w:val="20"/>
        </w:rPr>
        <w:t>Water Supply and Sanitation White Paper</w:t>
      </w:r>
      <w:r w:rsidRPr="006A3393">
        <w:rPr>
          <w:rFonts w:ascii="Cambria" w:eastAsia="Times New Roman" w:hAnsi="Cambria" w:cs="Lao UI"/>
          <w:sz w:val="20"/>
          <w:szCs w:val="20"/>
        </w:rPr>
        <w:t>, Cape Town.</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Republic of South Africa (1996), </w:t>
      </w:r>
      <w:r w:rsidRPr="006A3393">
        <w:rPr>
          <w:rFonts w:ascii="Cambria" w:eastAsia="Times New Roman" w:hAnsi="Cambria" w:cs="Lao UI"/>
          <w:i/>
          <w:sz w:val="20"/>
          <w:szCs w:val="20"/>
        </w:rPr>
        <w:t>Constitution of the Republic of South Africa Act 108 of 1996</w:t>
      </w:r>
      <w:r w:rsidRPr="006A3393">
        <w:rPr>
          <w:rFonts w:ascii="Cambria" w:eastAsia="Times New Roman" w:hAnsi="Cambria" w:cs="Lao UI"/>
          <w:sz w:val="20"/>
          <w:szCs w:val="20"/>
        </w:rPr>
        <w:t>, Cape Town.</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Republic of South Africa (1997), </w:t>
      </w:r>
      <w:r w:rsidRPr="006A3393">
        <w:rPr>
          <w:rFonts w:ascii="Cambria" w:eastAsia="Times New Roman" w:hAnsi="Cambria" w:cs="Lao UI"/>
          <w:i/>
          <w:sz w:val="20"/>
          <w:szCs w:val="20"/>
        </w:rPr>
        <w:t>Water Services Act 108 of 1997</w:t>
      </w:r>
      <w:r w:rsidRPr="006A3393">
        <w:rPr>
          <w:rFonts w:ascii="Cambria" w:eastAsia="Times New Roman" w:hAnsi="Cambria" w:cs="Lao UI"/>
          <w:sz w:val="20"/>
          <w:szCs w:val="20"/>
        </w:rPr>
        <w:t>, Cape Town.</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Roeder, A. (2009), ‘The Human Cost of South Africa’s Misguided AIDS Policies,’ </w:t>
      </w:r>
      <w:r w:rsidRPr="006A3393">
        <w:rPr>
          <w:rFonts w:ascii="Cambria" w:eastAsia="Times New Roman" w:hAnsi="Cambria" w:cs="Lao UI"/>
          <w:i/>
          <w:sz w:val="20"/>
          <w:szCs w:val="20"/>
        </w:rPr>
        <w:t xml:space="preserve">Harvard Public Health, </w:t>
      </w:r>
      <w:proofErr w:type="gramStart"/>
      <w:r w:rsidRPr="006A3393">
        <w:rPr>
          <w:rFonts w:ascii="Cambria" w:eastAsia="Times New Roman" w:hAnsi="Cambria" w:cs="Lao UI"/>
          <w:sz w:val="20"/>
          <w:szCs w:val="20"/>
        </w:rPr>
        <w:t>Spring</w:t>
      </w:r>
      <w:proofErr w:type="gramEnd"/>
      <w:r w:rsidRPr="006A3393">
        <w:rPr>
          <w:rFonts w:ascii="Cambria" w:eastAsia="Times New Roman" w:hAnsi="Cambria" w:cs="Lao UI"/>
          <w:sz w:val="20"/>
          <w:szCs w:val="20"/>
        </w:rPr>
        <w:t>,</w:t>
      </w:r>
      <w:r w:rsidRPr="006A3393">
        <w:rPr>
          <w:rFonts w:ascii="Cambria" w:eastAsia="Times New Roman" w:hAnsi="Cambria" w:cs="Lao UI"/>
          <w:b/>
          <w:sz w:val="20"/>
          <w:szCs w:val="20"/>
        </w:rPr>
        <w:t xml:space="preserve"> </w:t>
      </w:r>
      <w:r w:rsidRPr="006A3393">
        <w:rPr>
          <w:rFonts w:ascii="Cambria" w:eastAsia="Times New Roman" w:hAnsi="Cambria" w:cs="Lao UI"/>
          <w:sz w:val="20"/>
          <w:szCs w:val="20"/>
        </w:rPr>
        <w:t>http://www.hsph.harvard.edu/news/magazine/spring-2009/spr09aids.html.</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Roithmayr, D. (2011), ‘Lessons from </w:t>
      </w:r>
      <w:r w:rsidRPr="006A3393">
        <w:rPr>
          <w:rFonts w:ascii="Cambria" w:eastAsia="Times New Roman" w:hAnsi="Cambria" w:cs="Lao UI"/>
          <w:i/>
          <w:sz w:val="20"/>
          <w:szCs w:val="20"/>
        </w:rPr>
        <w:t>Mazibuko</w:t>
      </w:r>
      <w:r w:rsidRPr="006A3393">
        <w:rPr>
          <w:rFonts w:ascii="Cambria" w:eastAsia="Times New Roman" w:hAnsi="Cambria" w:cs="Lao UI"/>
          <w:sz w:val="20"/>
          <w:szCs w:val="20"/>
        </w:rPr>
        <w:t xml:space="preserve">: Persistent Inequality and the Commons’, </w:t>
      </w:r>
      <w:r w:rsidRPr="006A3393">
        <w:rPr>
          <w:rFonts w:ascii="Cambria" w:eastAsia="Times New Roman" w:hAnsi="Cambria" w:cs="Lao UI"/>
          <w:i/>
          <w:sz w:val="20"/>
          <w:szCs w:val="20"/>
        </w:rPr>
        <w:t>Constitutional Court Review</w:t>
      </w:r>
      <w:r w:rsidRPr="006A3393">
        <w:rPr>
          <w:rFonts w:ascii="Cambria" w:eastAsia="Times New Roman" w:hAnsi="Cambria" w:cs="Lao UI"/>
          <w:sz w:val="20"/>
          <w:szCs w:val="20"/>
        </w:rPr>
        <w:t>, 1.</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Strang, V. (2004), </w:t>
      </w:r>
      <w:proofErr w:type="gramStart"/>
      <w:r w:rsidRPr="006A3393">
        <w:rPr>
          <w:rFonts w:ascii="Cambria" w:eastAsia="Times New Roman" w:hAnsi="Cambria" w:cs="Lao UI"/>
          <w:i/>
          <w:sz w:val="20"/>
          <w:szCs w:val="20"/>
        </w:rPr>
        <w:t>The</w:t>
      </w:r>
      <w:proofErr w:type="gramEnd"/>
      <w:r w:rsidRPr="006A3393">
        <w:rPr>
          <w:rFonts w:ascii="Cambria" w:eastAsia="Times New Roman" w:hAnsi="Cambria" w:cs="Lao UI"/>
          <w:i/>
          <w:sz w:val="20"/>
          <w:szCs w:val="20"/>
        </w:rPr>
        <w:t xml:space="preserve"> Meaning of Water. </w:t>
      </w:r>
      <w:r w:rsidRPr="006A3393">
        <w:rPr>
          <w:rFonts w:ascii="Cambria" w:eastAsia="Times New Roman" w:hAnsi="Cambria" w:cs="Lao UI"/>
          <w:sz w:val="20"/>
          <w:szCs w:val="20"/>
        </w:rPr>
        <w:t>Oxford: Berg Publishers.</w:t>
      </w:r>
    </w:p>
    <w:p w:rsidR="00EB690C" w:rsidRPr="006A3393" w:rsidRDefault="00EB690C" w:rsidP="00EB690C">
      <w:pPr>
        <w:spacing w:after="0" w:line="240" w:lineRule="auto"/>
        <w:ind w:left="284" w:hanging="284"/>
        <w:rPr>
          <w:rFonts w:ascii="Cambria" w:hAnsi="Cambria" w:cs="Lao UI"/>
          <w:sz w:val="20"/>
          <w:szCs w:val="20"/>
        </w:rPr>
      </w:pPr>
      <w:proofErr w:type="gramStart"/>
      <w:r w:rsidRPr="006A3393">
        <w:rPr>
          <w:rFonts w:ascii="Cambria" w:eastAsia="Times New Roman" w:hAnsi="Cambria" w:cs="Lao UI"/>
          <w:sz w:val="20"/>
          <w:szCs w:val="20"/>
        </w:rPr>
        <w:t>Soobramoney v Minister of Health (Kwazulu-Natal) (1997), ‘Soobramoney Decision,’ http://www.escr- net.org/usr_doc/Soobramoney_Decision.pdf.</w:t>
      </w:r>
      <w:proofErr w:type="gramEnd"/>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Swyngedouw, E. (2008), ‘Retooling the Washington Consensus: The Contradictions of H2O under Neo-liberalism and the Tyranny of Participatory Governance’, Paper presented to the Centre for Civil Society, Durban, 3 July.</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United Nations Habitat (2012), </w:t>
      </w:r>
      <w:r w:rsidRPr="006A3393">
        <w:rPr>
          <w:rFonts w:ascii="Cambria" w:eastAsia="Times New Roman" w:hAnsi="Cambria" w:cs="Lao UI"/>
          <w:i/>
          <w:sz w:val="20"/>
          <w:szCs w:val="20"/>
        </w:rPr>
        <w:t xml:space="preserve">State of the World’s Cities, </w:t>
      </w:r>
      <w:r w:rsidRPr="006A3393">
        <w:rPr>
          <w:rFonts w:ascii="Cambria" w:eastAsia="Times New Roman" w:hAnsi="Cambria" w:cs="Lao UI"/>
          <w:sz w:val="20"/>
          <w:szCs w:val="20"/>
        </w:rPr>
        <w:t>Nairobi.</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 xml:space="preserve">Wittvogel, K. (1957), </w:t>
      </w:r>
      <w:r w:rsidRPr="006A3393">
        <w:rPr>
          <w:rFonts w:ascii="Cambria" w:eastAsia="Times New Roman" w:hAnsi="Cambria" w:cs="Lao UI"/>
          <w:i/>
          <w:sz w:val="20"/>
          <w:szCs w:val="20"/>
        </w:rPr>
        <w:t>Oriental Despotism: A Comparative Study of Total Power,</w:t>
      </w:r>
      <w:r w:rsidRPr="006A3393">
        <w:rPr>
          <w:rFonts w:ascii="Cambria" w:eastAsia="Times New Roman" w:hAnsi="Cambria" w:cs="Lao UI"/>
          <w:sz w:val="20"/>
          <w:szCs w:val="20"/>
        </w:rPr>
        <w:t xml:space="preserve"> Yale University Press, New Haven.</w:t>
      </w:r>
    </w:p>
    <w:p w:rsidR="00EB690C" w:rsidRPr="006A3393" w:rsidRDefault="00EB690C" w:rsidP="00EB690C">
      <w:pPr>
        <w:spacing w:after="0" w:line="240" w:lineRule="auto"/>
        <w:ind w:left="284" w:hanging="284"/>
        <w:rPr>
          <w:rFonts w:ascii="Cambria" w:hAnsi="Cambria" w:cs="Lao UI"/>
          <w:sz w:val="20"/>
          <w:szCs w:val="20"/>
        </w:rPr>
      </w:pPr>
      <w:r w:rsidRPr="006A3393">
        <w:rPr>
          <w:rFonts w:ascii="Cambria" w:eastAsia="Times New Roman" w:hAnsi="Cambria" w:cs="Lao UI"/>
          <w:sz w:val="20"/>
          <w:szCs w:val="20"/>
        </w:rPr>
        <w:t>World Bank (2010), ‘Systems of Cities: Integrating National and Local Policies, Connecting Institutions and Infrastructure’, Washington, DC.</w:t>
      </w:r>
    </w:p>
    <w:p w:rsidR="00EB690C" w:rsidRPr="006A3393" w:rsidRDefault="00EB690C" w:rsidP="00EB690C">
      <w:pPr>
        <w:spacing w:after="0" w:line="240" w:lineRule="auto"/>
        <w:ind w:left="284" w:hanging="284"/>
        <w:rPr>
          <w:rFonts w:ascii="Cambria" w:hAnsi="Cambria" w:cs="Lao UI"/>
          <w:sz w:val="20"/>
          <w:szCs w:val="20"/>
        </w:rPr>
      </w:pPr>
      <w:proofErr w:type="gramStart"/>
      <w:r w:rsidRPr="006A3393">
        <w:rPr>
          <w:rFonts w:ascii="Cambria" w:eastAsia="Times New Roman" w:hAnsi="Cambria" w:cs="Lao UI"/>
          <w:sz w:val="20"/>
          <w:szCs w:val="20"/>
        </w:rPr>
        <w:t>World Charter for the Right to the City (2005), Porto Alegre, http://www.urbanreinventors.net/3/wsf.pdf.</w:t>
      </w:r>
      <w:proofErr w:type="gramEnd"/>
    </w:p>
    <w:p w:rsidR="00EB690C" w:rsidRPr="004D46FC" w:rsidRDefault="00EB690C" w:rsidP="00EB690C">
      <w:pPr>
        <w:rPr>
          <w:rFonts w:ascii="Cambria" w:hAnsi="Cambria"/>
          <w:sz w:val="24"/>
          <w:szCs w:val="24"/>
        </w:rPr>
      </w:pPr>
    </w:p>
    <w:p w:rsidR="00EB690C" w:rsidRPr="004D46FC" w:rsidRDefault="00EB690C" w:rsidP="00EB690C">
      <w:pPr>
        <w:spacing w:after="0" w:line="240" w:lineRule="auto"/>
        <w:rPr>
          <w:rFonts w:ascii="Cambria" w:hAnsi="Cambria"/>
          <w:sz w:val="24"/>
          <w:szCs w:val="24"/>
        </w:rPr>
      </w:pPr>
    </w:p>
    <w:p w:rsidR="00CD6DEB" w:rsidRDefault="00EB690C">
      <w:bookmarkStart w:id="0" w:name="_GoBack"/>
      <w:bookmarkEnd w:id="0"/>
    </w:p>
    <w:sectPr w:rsidR="00CD6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Lao UI">
    <w:panose1 w:val="020B0502040204020203"/>
    <w:charset w:val="00"/>
    <w:family w:val="swiss"/>
    <w:pitch w:val="variable"/>
    <w:sig w:usb0="02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61FB8"/>
    <w:multiLevelType w:val="multilevel"/>
    <w:tmpl w:val="32621FFE"/>
    <w:lvl w:ilvl="0">
      <w:start w:val="1"/>
      <w:numFmt w:val="decimal"/>
      <w:lvlText w:val="%1."/>
      <w:lvlJc w:val="left"/>
      <w:pPr>
        <w:ind w:left="1080" w:firstLine="2880"/>
      </w:pPr>
    </w:lvl>
    <w:lvl w:ilvl="1">
      <w:start w:val="1"/>
      <w:numFmt w:val="lowerLetter"/>
      <w:lvlText w:val="%2."/>
      <w:lvlJc w:val="left"/>
      <w:pPr>
        <w:ind w:left="1800" w:firstLine="5040"/>
      </w:pPr>
    </w:lvl>
    <w:lvl w:ilvl="2">
      <w:start w:val="1"/>
      <w:numFmt w:val="lowerRoman"/>
      <w:lvlText w:val="%3."/>
      <w:lvlJc w:val="right"/>
      <w:pPr>
        <w:ind w:left="2520" w:firstLine="7380"/>
      </w:pPr>
    </w:lvl>
    <w:lvl w:ilvl="3">
      <w:start w:val="1"/>
      <w:numFmt w:val="decimal"/>
      <w:lvlText w:val="%4."/>
      <w:lvlJc w:val="left"/>
      <w:pPr>
        <w:ind w:left="3240" w:firstLine="9360"/>
      </w:pPr>
    </w:lvl>
    <w:lvl w:ilvl="4">
      <w:start w:val="1"/>
      <w:numFmt w:val="lowerLetter"/>
      <w:lvlText w:val="%5."/>
      <w:lvlJc w:val="left"/>
      <w:pPr>
        <w:ind w:left="3960" w:firstLine="11520"/>
      </w:pPr>
    </w:lvl>
    <w:lvl w:ilvl="5">
      <w:start w:val="1"/>
      <w:numFmt w:val="lowerRoman"/>
      <w:lvlText w:val="%6."/>
      <w:lvlJc w:val="right"/>
      <w:pPr>
        <w:ind w:left="4680" w:firstLine="13860"/>
      </w:pPr>
    </w:lvl>
    <w:lvl w:ilvl="6">
      <w:start w:val="1"/>
      <w:numFmt w:val="decimal"/>
      <w:lvlText w:val="%7."/>
      <w:lvlJc w:val="left"/>
      <w:pPr>
        <w:ind w:left="5400" w:firstLine="15840"/>
      </w:pPr>
    </w:lvl>
    <w:lvl w:ilvl="7">
      <w:start w:val="1"/>
      <w:numFmt w:val="lowerLetter"/>
      <w:lvlText w:val="%8."/>
      <w:lvlJc w:val="left"/>
      <w:pPr>
        <w:ind w:left="6120" w:firstLine="18000"/>
      </w:pPr>
    </w:lvl>
    <w:lvl w:ilvl="8">
      <w:start w:val="1"/>
      <w:numFmt w:val="lowerRoman"/>
      <w:lvlText w:val="%9."/>
      <w:lvlJc w:val="right"/>
      <w:pPr>
        <w:ind w:left="6840" w:firstLine="203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0C"/>
    <w:rsid w:val="000010E0"/>
    <w:rsid w:val="00463612"/>
    <w:rsid w:val="0097376B"/>
    <w:rsid w:val="00C93C68"/>
    <w:rsid w:val="00EB69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EB69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EB6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jiltalk.org/a-human-right-to-water-the-south-african-constitutional-court's-decision-in-the-mazibuko-ca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10415</Words>
  <Characters>59371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69647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Bond</dc:creator>
  <cp:lastModifiedBy>Patrick Bond</cp:lastModifiedBy>
  <cp:revision>1</cp:revision>
  <dcterms:created xsi:type="dcterms:W3CDTF">2017-06-18T06:32:00Z</dcterms:created>
  <dcterms:modified xsi:type="dcterms:W3CDTF">2017-06-18T06:34:00Z</dcterms:modified>
</cp:coreProperties>
</file>