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C9D2" w14:textId="6D760673" w:rsidR="00AD3C51" w:rsidRDefault="00AD3C51" w:rsidP="00A951A3">
      <w:pPr>
        <w:pStyle w:val="NormalWeb"/>
        <w:shd w:val="clear" w:color="auto" w:fill="FFFFFF"/>
        <w:adjustRightInd w:val="0"/>
        <w:snapToGrid w:val="0"/>
        <w:spacing w:before="0" w:beforeAutospacing="0" w:after="0" w:afterAutospacing="0"/>
        <w:jc w:val="both"/>
        <w:rPr>
          <w:rFonts w:ascii="Calibri" w:hAnsi="Calibri" w:cs="Calibri" w:hint="eastAsia"/>
          <w:b/>
          <w:bCs/>
          <w:color w:val="212121"/>
          <w:sz w:val="28"/>
          <w:szCs w:val="28"/>
        </w:rPr>
      </w:pPr>
      <w:r>
        <w:rPr>
          <w:rFonts w:ascii="Calibri" w:hAnsi="Calibri" w:cs="Calibri"/>
          <w:b/>
          <w:bCs/>
          <w:color w:val="212121"/>
          <w:sz w:val="28"/>
          <w:szCs w:val="28"/>
        </w:rPr>
        <w:t>SSFS10 - 7.11</w:t>
      </w:r>
    </w:p>
    <w:p w14:paraId="22106808" w14:textId="77777777" w:rsidR="00AD3C51" w:rsidRDefault="00AD3C51" w:rsidP="00A951A3">
      <w:pPr>
        <w:pStyle w:val="NormalWeb"/>
        <w:shd w:val="clear" w:color="auto" w:fill="FFFFFF"/>
        <w:adjustRightInd w:val="0"/>
        <w:snapToGrid w:val="0"/>
        <w:spacing w:before="0" w:beforeAutospacing="0" w:after="0" w:afterAutospacing="0"/>
        <w:jc w:val="both"/>
        <w:rPr>
          <w:rFonts w:ascii="Calibri" w:hAnsi="Calibri" w:cs="Calibri"/>
          <w:b/>
          <w:bCs/>
          <w:color w:val="212121"/>
          <w:sz w:val="28"/>
          <w:szCs w:val="28"/>
        </w:rPr>
      </w:pPr>
    </w:p>
    <w:p w14:paraId="1D162D69" w14:textId="6A73B5A6" w:rsidR="00A951A3" w:rsidRDefault="00A951A3" w:rsidP="00A951A3">
      <w:pPr>
        <w:pStyle w:val="NormalWeb"/>
        <w:shd w:val="clear" w:color="auto" w:fill="FFFFFF"/>
        <w:adjustRightInd w:val="0"/>
        <w:snapToGrid w:val="0"/>
        <w:spacing w:before="0" w:beforeAutospacing="0" w:after="0" w:afterAutospacing="0"/>
        <w:jc w:val="both"/>
        <w:rPr>
          <w:rFonts w:ascii="Calibri" w:hAnsi="Calibri" w:cs="Calibri"/>
          <w:color w:val="222222"/>
          <w:sz w:val="22"/>
          <w:szCs w:val="22"/>
        </w:rPr>
      </w:pPr>
      <w:r>
        <w:rPr>
          <w:rFonts w:ascii="Calibri" w:hAnsi="Calibri" w:cs="Calibri"/>
          <w:b/>
          <w:bCs/>
          <w:color w:val="212121"/>
          <w:sz w:val="28"/>
          <w:szCs w:val="28"/>
        </w:rPr>
        <w:t>AGAINST HEALTH FOR ALL: 30 YEARS OF HEALTH FINANCIALIZATION</w:t>
      </w:r>
    </w:p>
    <w:p w14:paraId="76D8C82B" w14:textId="77777777" w:rsidR="00A951A3" w:rsidRDefault="00A951A3" w:rsidP="00A951A3">
      <w:pPr>
        <w:pStyle w:val="NormalWeb"/>
        <w:shd w:val="clear" w:color="auto" w:fill="FFFFFF"/>
        <w:adjustRightInd w:val="0"/>
        <w:snapToGrid w:val="0"/>
        <w:spacing w:before="0" w:beforeAutospacing="0" w:after="0" w:afterAutospacing="0"/>
        <w:jc w:val="both"/>
        <w:rPr>
          <w:rFonts w:ascii="Calibri" w:hAnsi="Calibri" w:cs="Calibri"/>
          <w:color w:val="222222"/>
          <w:sz w:val="22"/>
          <w:szCs w:val="22"/>
        </w:rPr>
      </w:pPr>
      <w:r>
        <w:rPr>
          <w:rFonts w:ascii="Calibri" w:hAnsi="Calibri" w:cs="Calibri"/>
          <w:color w:val="212121"/>
          <w:sz w:val="22"/>
          <w:szCs w:val="22"/>
        </w:rPr>
        <w:t> </w:t>
      </w:r>
    </w:p>
    <w:p w14:paraId="75840E35" w14:textId="77777777" w:rsidR="00A951A3" w:rsidRDefault="00A951A3" w:rsidP="00A951A3">
      <w:pPr>
        <w:pStyle w:val="NormalWeb"/>
        <w:shd w:val="clear" w:color="auto" w:fill="FFFFFF"/>
        <w:adjustRightInd w:val="0"/>
        <w:snapToGrid w:val="0"/>
        <w:spacing w:before="0" w:beforeAutospacing="0" w:after="150" w:afterAutospacing="0"/>
        <w:jc w:val="both"/>
        <w:rPr>
          <w:rFonts w:ascii="Calibri" w:hAnsi="Calibri" w:cs="Calibri"/>
          <w:color w:val="222222"/>
          <w:sz w:val="22"/>
          <w:szCs w:val="22"/>
        </w:rPr>
      </w:pPr>
      <w:r>
        <w:rPr>
          <w:rFonts w:ascii="Open Sans" w:hAnsi="Open Sans" w:cs="Open Sans"/>
          <w:color w:val="000000"/>
          <w:sz w:val="23"/>
          <w:szCs w:val="23"/>
        </w:rPr>
        <w:t>As a stage in the development of capitalism underpinned by extreme financialization, neoliberalism generates increased inequality and systemic volatility, as well as the subversion of the international democratic order as we have known it since the creation of the United Nations.</w:t>
      </w:r>
    </w:p>
    <w:p w14:paraId="6621F95E" w14:textId="77777777" w:rsidR="00A951A3" w:rsidRDefault="00A951A3" w:rsidP="00A951A3">
      <w:pPr>
        <w:pStyle w:val="NormalWeb"/>
        <w:shd w:val="clear" w:color="auto" w:fill="FFFFFF"/>
        <w:adjustRightInd w:val="0"/>
        <w:snapToGrid w:val="0"/>
        <w:spacing w:before="0" w:beforeAutospacing="0" w:after="150" w:afterAutospacing="0"/>
        <w:jc w:val="both"/>
        <w:rPr>
          <w:rFonts w:ascii="Calibri" w:hAnsi="Calibri" w:cs="Calibri"/>
          <w:color w:val="222222"/>
          <w:sz w:val="22"/>
          <w:szCs w:val="22"/>
        </w:rPr>
      </w:pPr>
      <w:r>
        <w:rPr>
          <w:rFonts w:ascii="Open Sans" w:hAnsi="Open Sans" w:cs="Open Sans"/>
          <w:color w:val="000000"/>
          <w:sz w:val="23"/>
          <w:szCs w:val="23"/>
        </w:rPr>
        <w:t xml:space="preserve">There are several vectors that exacerbate the effects of contemporary capitalism. However, one of the structural challenges that civil society organizations and social movements have to recognize and address relates to the expansion of vertically integrated global value chains that owners of intangible commodities – such as financial products and intellectual property rights – control. These have determined economic concentration and oligopoly power dominating the top of the value chain, including in the global health arena, whereas fierce competition for low-wage </w:t>
      </w:r>
      <w:proofErr w:type="spellStart"/>
      <w:r>
        <w:rPr>
          <w:rFonts w:ascii="Open Sans" w:hAnsi="Open Sans" w:cs="Open Sans"/>
          <w:color w:val="000000"/>
          <w:sz w:val="23"/>
          <w:szCs w:val="23"/>
        </w:rPr>
        <w:t>labour</w:t>
      </w:r>
      <w:proofErr w:type="spellEnd"/>
      <w:r>
        <w:rPr>
          <w:rFonts w:ascii="Open Sans" w:hAnsi="Open Sans" w:cs="Open Sans"/>
          <w:color w:val="000000"/>
          <w:sz w:val="23"/>
          <w:szCs w:val="23"/>
        </w:rPr>
        <w:t xml:space="preserve"> and precarious forms of social protection characterizes the bottom. In this scenario of global injustice and social polarization, the use of advanced technology – both information technology and biotech – looms for its capacity of enhanced control of peoples’ bodies and lives.</w:t>
      </w:r>
    </w:p>
    <w:p w14:paraId="40687D90" w14:textId="77777777" w:rsidR="00A951A3" w:rsidRDefault="00A951A3" w:rsidP="00A951A3">
      <w:pPr>
        <w:pStyle w:val="NormalWeb"/>
        <w:shd w:val="clear" w:color="auto" w:fill="FFFFFF"/>
        <w:adjustRightInd w:val="0"/>
        <w:snapToGrid w:val="0"/>
        <w:spacing w:before="0" w:beforeAutospacing="0" w:after="150" w:afterAutospacing="0"/>
        <w:jc w:val="both"/>
        <w:rPr>
          <w:rFonts w:ascii="Calibri" w:hAnsi="Calibri" w:cs="Calibri"/>
          <w:color w:val="222222"/>
          <w:sz w:val="22"/>
          <w:szCs w:val="22"/>
        </w:rPr>
      </w:pPr>
      <w:r>
        <w:rPr>
          <w:rFonts w:ascii="Open Sans" w:hAnsi="Open Sans" w:cs="Open Sans"/>
          <w:color w:val="000000"/>
          <w:sz w:val="23"/>
          <w:szCs w:val="23"/>
        </w:rPr>
        <w:t xml:space="preserve">Health rights are situated at the crossroad of such trends, and more prominently so, after three years of pandemic crisis. Covid-19 has somewhat naturalized inequalities while ushering the opportunity for new forms of </w:t>
      </w:r>
      <w:proofErr w:type="spellStart"/>
      <w:r>
        <w:rPr>
          <w:rFonts w:ascii="Open Sans" w:hAnsi="Open Sans" w:cs="Open Sans"/>
          <w:color w:val="000000"/>
          <w:sz w:val="23"/>
          <w:szCs w:val="23"/>
        </w:rPr>
        <w:t>extractivism</w:t>
      </w:r>
      <w:proofErr w:type="spellEnd"/>
      <w:r>
        <w:rPr>
          <w:rFonts w:ascii="Open Sans" w:hAnsi="Open Sans" w:cs="Open Sans"/>
          <w:color w:val="000000"/>
          <w:sz w:val="23"/>
          <w:szCs w:val="23"/>
        </w:rPr>
        <w:t xml:space="preserve"> from the sick, further facilitating the brave new world of private finance in the healthcare domain, whose presence has been largely blessed by multilateral development institutions through the implementation of the Sustainable Development Goals (SDGs). The SDGs have often helped financial investors to re-imagine health needs as an adaptable marketplace for them to come on board and engage – we see this happening while healthcare systems are globally collapsing after the shock produced by the pandemic.</w:t>
      </w:r>
    </w:p>
    <w:p w14:paraId="03A5E52B" w14:textId="55770BA8" w:rsidR="00A951A3" w:rsidRDefault="00A951A3" w:rsidP="00A951A3">
      <w:pPr>
        <w:pStyle w:val="NormalWeb"/>
        <w:shd w:val="clear" w:color="auto" w:fill="FFFFFF"/>
        <w:adjustRightInd w:val="0"/>
        <w:snapToGrid w:val="0"/>
        <w:spacing w:before="0" w:beforeAutospacing="0" w:after="150" w:afterAutospacing="0"/>
        <w:jc w:val="both"/>
        <w:rPr>
          <w:rFonts w:ascii="Calibri" w:hAnsi="Calibri" w:cs="Calibri"/>
          <w:color w:val="222222"/>
          <w:sz w:val="22"/>
          <w:szCs w:val="22"/>
        </w:rPr>
      </w:pPr>
      <w:r>
        <w:rPr>
          <w:rFonts w:ascii="Open Sans" w:hAnsi="Open Sans" w:cs="Open Sans"/>
          <w:color w:val="000000"/>
          <w:sz w:val="23"/>
          <w:szCs w:val="23"/>
        </w:rPr>
        <w:t xml:space="preserve">This session, while presenting the new </w:t>
      </w:r>
      <w:proofErr w:type="spellStart"/>
      <w:r>
        <w:rPr>
          <w:rFonts w:ascii="Open Sans" w:hAnsi="Open Sans" w:cs="Open Sans"/>
          <w:color w:val="000000"/>
          <w:sz w:val="23"/>
          <w:szCs w:val="23"/>
        </w:rPr>
        <w:t>SiD</w:t>
      </w:r>
      <w:proofErr w:type="spellEnd"/>
      <w:r>
        <w:rPr>
          <w:rFonts w:ascii="Open Sans" w:hAnsi="Open Sans" w:cs="Open Sans"/>
          <w:color w:val="000000"/>
          <w:sz w:val="23"/>
          <w:szCs w:val="23"/>
        </w:rPr>
        <w:t xml:space="preserve"> policy briefing on health financialization, aims to pull together the strings of interconnection that exist across the agenda of health financialization, health financing and health privatization, as the international community is debating about the scenarios that are supposed to take stock of the Covid-19 lessons and prepare the world </w:t>
      </w:r>
      <w:r>
        <w:rPr>
          <w:rFonts w:ascii="Open Sans" w:hAnsi="Open Sans" w:cs="Open Sans"/>
          <w:color w:val="000000"/>
          <w:sz w:val="22"/>
          <w:szCs w:val="22"/>
        </w:rPr>
        <w:t>for</w:t>
      </w:r>
      <w:r>
        <w:rPr>
          <w:rFonts w:ascii="Open Sans" w:hAnsi="Open Sans" w:cs="Open Sans"/>
          <w:color w:val="000000"/>
          <w:sz w:val="23"/>
          <w:szCs w:val="23"/>
        </w:rPr>
        <w:t> the future health emergencies.</w:t>
      </w:r>
    </w:p>
    <w:p w14:paraId="0E554CA9" w14:textId="59C402A9" w:rsidR="00A951A3" w:rsidRDefault="00A951A3" w:rsidP="00A951A3">
      <w:pPr>
        <w:pStyle w:val="NormalWeb"/>
        <w:shd w:val="clear" w:color="auto" w:fill="FFFFFF"/>
        <w:adjustRightInd w:val="0"/>
        <w:snapToGrid w:val="0"/>
        <w:spacing w:before="0" w:beforeAutospacing="0" w:after="0" w:afterAutospacing="0"/>
        <w:jc w:val="both"/>
        <w:rPr>
          <w:rFonts w:ascii="Calibri" w:hAnsi="Calibri" w:cs="Calibri"/>
          <w:color w:val="222222"/>
          <w:sz w:val="22"/>
          <w:szCs w:val="22"/>
        </w:rPr>
      </w:pPr>
    </w:p>
    <w:p w14:paraId="2DAD09AC" w14:textId="54A51091" w:rsidR="00A951A3" w:rsidRDefault="00A951A3" w:rsidP="00A951A3">
      <w:pPr>
        <w:pStyle w:val="NormalWeb"/>
        <w:shd w:val="clear" w:color="auto" w:fill="FFFFFF"/>
        <w:adjustRightInd w:val="0"/>
        <w:snapToGrid w:val="0"/>
        <w:spacing w:before="0" w:beforeAutospacing="0" w:after="0" w:afterAutospacing="0"/>
        <w:jc w:val="both"/>
        <w:rPr>
          <w:rFonts w:ascii="Calibri" w:hAnsi="Calibri" w:cs="Calibri"/>
          <w:color w:val="222222"/>
          <w:sz w:val="22"/>
          <w:szCs w:val="22"/>
        </w:rPr>
      </w:pPr>
    </w:p>
    <w:tbl>
      <w:tblPr>
        <w:tblStyle w:val="12"/>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75"/>
        <w:gridCol w:w="6225"/>
      </w:tblGrid>
      <w:tr w:rsidR="00AD3C51" w:rsidRPr="00D72809" w14:paraId="1670A23A" w14:textId="77777777" w:rsidTr="00505A07">
        <w:tc>
          <w:tcPr>
            <w:tcW w:w="27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451FFB" w14:textId="77777777" w:rsidR="00AD3C51" w:rsidRPr="00D72809" w:rsidRDefault="00AD3C51" w:rsidP="00505A07">
            <w:pPr>
              <w:widowControl w:val="0"/>
              <w:pBdr>
                <w:top w:val="nil"/>
                <w:left w:val="nil"/>
                <w:bottom w:val="nil"/>
                <w:right w:val="nil"/>
                <w:between w:val="nil"/>
              </w:pBd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Pr="00D72809">
              <w:rPr>
                <w:rFonts w:ascii="Times New Roman" w:eastAsia="Times New Roman" w:hAnsi="Times New Roman" w:cs="Times New Roman"/>
                <w:bCs/>
                <w:sz w:val="24"/>
                <w:szCs w:val="24"/>
              </w:rPr>
              <w:t xml:space="preserve"> July (</w:t>
            </w:r>
            <w:r>
              <w:rPr>
                <w:rFonts w:ascii="Times New Roman" w:eastAsia="Times New Roman" w:hAnsi="Times New Roman" w:cs="Times New Roman"/>
                <w:bCs/>
                <w:sz w:val="24"/>
                <w:szCs w:val="24"/>
              </w:rPr>
              <w:t>Tuesday</w:t>
            </w:r>
            <w:r w:rsidRPr="00D72809">
              <w:rPr>
                <w:rFonts w:ascii="Times New Roman" w:eastAsia="Times New Roman" w:hAnsi="Times New Roman" w:cs="Times New Roman"/>
                <w:bCs/>
                <w:sz w:val="24"/>
                <w:szCs w:val="24"/>
              </w:rPr>
              <w:t>)</w:t>
            </w:r>
          </w:p>
        </w:tc>
        <w:tc>
          <w:tcPr>
            <w:tcW w:w="62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E8E39C" w14:textId="77777777" w:rsidR="00AD3C51" w:rsidRPr="00D72809" w:rsidRDefault="00AD3C51" w:rsidP="00505A07">
            <w:pPr>
              <w:widowControl w:val="0"/>
              <w:pBdr>
                <w:top w:val="nil"/>
                <w:left w:val="nil"/>
                <w:bottom w:val="nil"/>
                <w:right w:val="nil"/>
                <w:between w:val="nil"/>
              </w:pBdr>
              <w:spacing w:line="240" w:lineRule="auto"/>
              <w:rPr>
                <w:rFonts w:ascii="Times New Roman" w:eastAsia="Times New Roman" w:hAnsi="Times New Roman" w:cs="Times New Roman"/>
                <w:bCs/>
                <w:sz w:val="24"/>
                <w:szCs w:val="24"/>
              </w:rPr>
            </w:pPr>
          </w:p>
        </w:tc>
      </w:tr>
    </w:tbl>
    <w:tbl>
      <w:tblPr>
        <w:tblStyle w:val="1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75"/>
        <w:gridCol w:w="6225"/>
      </w:tblGrid>
      <w:tr w:rsidR="00AD3C51" w:rsidRPr="00D72809" w14:paraId="1B0C26CA" w14:textId="77777777" w:rsidTr="00505A07">
        <w:tc>
          <w:tcPr>
            <w:tcW w:w="2775" w:type="dxa"/>
            <w:tcBorders>
              <w:top w:val="single" w:sz="4" w:space="0" w:color="auto"/>
            </w:tcBorders>
            <w:shd w:val="clear" w:color="auto" w:fill="auto"/>
            <w:tcMar>
              <w:top w:w="100" w:type="dxa"/>
              <w:left w:w="100" w:type="dxa"/>
              <w:bottom w:w="100" w:type="dxa"/>
              <w:right w:w="100" w:type="dxa"/>
            </w:tcMar>
          </w:tcPr>
          <w:p w14:paraId="7A0C5AA4" w14:textId="77777777" w:rsidR="00AD3C51" w:rsidRPr="00D72809" w:rsidRDefault="00AD3C51" w:rsidP="00505A07">
            <w:pPr>
              <w:widowControl w:val="0"/>
              <w:pBdr>
                <w:top w:val="nil"/>
                <w:left w:val="nil"/>
                <w:bottom w:val="nil"/>
                <w:right w:val="nil"/>
                <w:between w:val="nil"/>
              </w:pBdr>
              <w:spacing w:line="240" w:lineRule="auto"/>
              <w:rPr>
                <w:rFonts w:ascii="Times New Roman" w:eastAsia="Times New Roman" w:hAnsi="Times New Roman" w:cs="Times New Roman"/>
                <w:bCs/>
                <w:sz w:val="24"/>
                <w:szCs w:val="24"/>
              </w:rPr>
            </w:pPr>
            <w:r w:rsidRPr="00D72809">
              <w:rPr>
                <w:rFonts w:ascii="Times New Roman" w:hAnsi="Times New Roman" w:cs="Times New Roman"/>
                <w:bCs/>
                <w:sz w:val="24"/>
                <w:szCs w:val="24"/>
              </w:rPr>
              <w:br w:type="page"/>
            </w:r>
            <w:r w:rsidRPr="00D72809">
              <w:rPr>
                <w:rFonts w:ascii="Times New Roman" w:eastAsia="Times New Roman" w:hAnsi="Times New Roman" w:cs="Times New Roman"/>
                <w:bCs/>
                <w:sz w:val="24"/>
                <w:szCs w:val="24"/>
              </w:rPr>
              <w:t>HK 20:00 - 2</w:t>
            </w:r>
            <w:r>
              <w:rPr>
                <w:rFonts w:ascii="Times New Roman" w:eastAsia="Times New Roman" w:hAnsi="Times New Roman" w:cs="Times New Roman"/>
                <w:bCs/>
                <w:sz w:val="24"/>
                <w:szCs w:val="24"/>
              </w:rPr>
              <w:t>2</w:t>
            </w:r>
            <w:r w:rsidRPr="00D72809">
              <w:rPr>
                <w:rFonts w:ascii="Times New Roman" w:eastAsia="Times New Roman" w:hAnsi="Times New Roman" w:cs="Times New Roman"/>
                <w:bCs/>
                <w:sz w:val="24"/>
                <w:szCs w:val="24"/>
              </w:rPr>
              <w:t>:00</w:t>
            </w:r>
          </w:p>
          <w:p w14:paraId="46FE4209" w14:textId="77777777" w:rsidR="00AD3C51" w:rsidRDefault="00AD3C51" w:rsidP="00505A07">
            <w:pPr>
              <w:widowControl w:val="0"/>
              <w:spacing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(GMT 12:00 - 1</w:t>
            </w:r>
            <w:r>
              <w:rPr>
                <w:rFonts w:ascii="Times New Roman" w:eastAsia="Times New Roman" w:hAnsi="Times New Roman" w:cs="Times New Roman"/>
                <w:bCs/>
                <w:sz w:val="24"/>
                <w:szCs w:val="24"/>
              </w:rPr>
              <w:t>4</w:t>
            </w:r>
            <w:r w:rsidRPr="00D72809">
              <w:rPr>
                <w:rFonts w:ascii="Times New Roman" w:eastAsia="Times New Roman" w:hAnsi="Times New Roman" w:cs="Times New Roman"/>
                <w:bCs/>
                <w:sz w:val="24"/>
                <w:szCs w:val="24"/>
              </w:rPr>
              <w:t>:00)</w:t>
            </w:r>
          </w:p>
          <w:p w14:paraId="233821DF" w14:textId="77777777" w:rsidR="00AD3C51" w:rsidRPr="00D72809" w:rsidRDefault="00AD3C51" w:rsidP="00505A07">
            <w:pPr>
              <w:widowControl w:val="0"/>
              <w:spacing w:line="240" w:lineRule="auto"/>
              <w:rPr>
                <w:rFonts w:ascii="Times New Roman" w:eastAsia="Times New Roman" w:hAnsi="Times New Roman" w:cs="Times New Roman"/>
                <w:bCs/>
                <w:sz w:val="24"/>
                <w:szCs w:val="24"/>
              </w:rPr>
            </w:pPr>
            <w:r>
              <w:rPr>
                <w:rFonts w:ascii="Times New Roman" w:eastAsia="DengXian" w:hAnsi="Times New Roman" w:cs="Times New Roman"/>
                <w:bCs/>
                <w:sz w:val="24"/>
                <w:szCs w:val="24"/>
              </w:rPr>
              <w:t>(</w:t>
            </w:r>
            <w:r>
              <w:rPr>
                <w:rFonts w:ascii="Times New Roman" w:eastAsia="DengXian" w:hAnsi="Times New Roman" w:cs="Times New Roman" w:hint="eastAsia"/>
                <w:bCs/>
                <w:sz w:val="24"/>
                <w:szCs w:val="24"/>
              </w:rPr>
              <w:t>C</w:t>
            </w:r>
            <w:r>
              <w:rPr>
                <w:rFonts w:ascii="Times New Roman" w:eastAsia="DengXian" w:hAnsi="Times New Roman" w:cs="Times New Roman"/>
                <w:bCs/>
                <w:sz w:val="24"/>
                <w:szCs w:val="24"/>
              </w:rPr>
              <w:t>ET 14:00-16:00)</w:t>
            </w:r>
          </w:p>
        </w:tc>
        <w:tc>
          <w:tcPr>
            <w:tcW w:w="6225" w:type="dxa"/>
            <w:tcBorders>
              <w:top w:val="single" w:sz="4" w:space="0" w:color="auto"/>
            </w:tcBorders>
            <w:shd w:val="clear" w:color="auto" w:fill="auto"/>
            <w:tcMar>
              <w:top w:w="100" w:type="dxa"/>
              <w:left w:w="100" w:type="dxa"/>
              <w:bottom w:w="100" w:type="dxa"/>
              <w:right w:w="100" w:type="dxa"/>
            </w:tcMar>
          </w:tcPr>
          <w:p w14:paraId="3B78303E" w14:textId="77777777" w:rsidR="00AD3C51" w:rsidRPr="00873117" w:rsidRDefault="00AD3C51" w:rsidP="00505A07">
            <w:pPr>
              <w:pStyle w:val="NormalWeb"/>
              <w:shd w:val="clear" w:color="auto" w:fill="FFFFFF"/>
              <w:adjustRightInd w:val="0"/>
              <w:snapToGrid w:val="0"/>
              <w:spacing w:before="0" w:beforeAutospacing="0" w:after="0" w:afterAutospacing="0"/>
              <w:jc w:val="both"/>
              <w:rPr>
                <w:rFonts w:ascii="Times New Roman" w:hAnsi="Times New Roman" w:cs="Times New Roman"/>
                <w:color w:val="222222"/>
              </w:rPr>
            </w:pPr>
            <w:r w:rsidRPr="00873117">
              <w:rPr>
                <w:rFonts w:ascii="Times New Roman" w:hAnsi="Times New Roman" w:cs="Times New Roman"/>
                <w:color w:val="212121"/>
              </w:rPr>
              <w:t>Against Health for All: 30 Years of Health Financialization</w:t>
            </w:r>
          </w:p>
          <w:p w14:paraId="0CDF9843" w14:textId="77777777" w:rsidR="00AD3C51" w:rsidRPr="00067E8E" w:rsidRDefault="00AD3C51" w:rsidP="00505A07">
            <w:pPr>
              <w:widowControl w:val="0"/>
              <w:spacing w:line="240" w:lineRule="auto"/>
              <w:rPr>
                <w:rFonts w:ascii="Times New Roman" w:eastAsia="DengXian" w:hAnsi="Times New Roman" w:cs="Times New Roman"/>
                <w:bCs/>
                <w:sz w:val="24"/>
                <w:szCs w:val="24"/>
                <w:lang w:val="en-GB"/>
              </w:rPr>
            </w:pPr>
          </w:p>
          <w:p w14:paraId="78E0FEBB" w14:textId="77777777" w:rsidR="00AD3C51" w:rsidRPr="00DB6187" w:rsidRDefault="00AD3C51" w:rsidP="00505A07">
            <w:pPr>
              <w:widowControl w:val="0"/>
              <w:spacing w:line="240" w:lineRule="auto"/>
              <w:rPr>
                <w:rFonts w:ascii="Times New Roman" w:eastAsia="DengXian" w:hAnsi="Times New Roman" w:cs="Times New Roman"/>
                <w:bCs/>
                <w:sz w:val="24"/>
                <w:szCs w:val="24"/>
              </w:rPr>
            </w:pPr>
            <w:r w:rsidRPr="00DB6187">
              <w:rPr>
                <w:rFonts w:ascii="Times New Roman" w:eastAsia="DengXian" w:hAnsi="Times New Roman" w:cs="Times New Roman"/>
                <w:bCs/>
                <w:sz w:val="24"/>
                <w:szCs w:val="24"/>
              </w:rPr>
              <w:t>Moderator:</w:t>
            </w:r>
          </w:p>
          <w:p w14:paraId="6A993535" w14:textId="77777777" w:rsidR="00AD3C51" w:rsidRPr="00DB6187" w:rsidRDefault="00AD3C51" w:rsidP="00505A07">
            <w:pPr>
              <w:pStyle w:val="NormalWeb"/>
              <w:shd w:val="clear" w:color="auto" w:fill="FFFFFF"/>
              <w:adjustRightInd w:val="0"/>
              <w:snapToGrid w:val="0"/>
              <w:spacing w:before="0" w:beforeAutospacing="0" w:after="0" w:afterAutospacing="0"/>
              <w:jc w:val="both"/>
              <w:rPr>
                <w:rFonts w:ascii="Times New Roman" w:hAnsi="Times New Roman" w:cs="Times New Roman"/>
                <w:bCs/>
                <w:color w:val="222222"/>
              </w:rPr>
            </w:pPr>
            <w:r w:rsidRPr="00DB6187">
              <w:rPr>
                <w:rFonts w:ascii="Times New Roman" w:hAnsi="Times New Roman" w:cs="Times New Roman"/>
                <w:bCs/>
                <w:color w:val="212121"/>
              </w:rPr>
              <w:t xml:space="preserve">Nicoletta </w:t>
            </w:r>
            <w:r w:rsidRPr="00873117">
              <w:rPr>
                <w:rFonts w:ascii="Times New Roman" w:hAnsi="Times New Roman" w:cs="Times New Roman"/>
                <w:bCs/>
                <w:color w:val="212121"/>
              </w:rPr>
              <w:t>DENTICO</w:t>
            </w:r>
            <w:r w:rsidRPr="00DB6187">
              <w:rPr>
                <w:rFonts w:ascii="Times New Roman" w:hAnsi="Times New Roman" w:cs="Times New Roman"/>
                <w:bCs/>
                <w:color w:val="212121"/>
              </w:rPr>
              <w:t xml:space="preserve"> (Global </w:t>
            </w:r>
            <w:r>
              <w:rPr>
                <w:bCs/>
                <w:color w:val="212121"/>
              </w:rPr>
              <w:t>H</w:t>
            </w:r>
            <w:r w:rsidRPr="00DB6187">
              <w:rPr>
                <w:rFonts w:ascii="Times New Roman" w:hAnsi="Times New Roman" w:cs="Times New Roman"/>
                <w:bCs/>
                <w:color w:val="212121"/>
              </w:rPr>
              <w:t xml:space="preserve">ealth </w:t>
            </w:r>
            <w:r>
              <w:rPr>
                <w:bCs/>
                <w:color w:val="212121"/>
              </w:rPr>
              <w:t>J</w:t>
            </w:r>
            <w:r w:rsidRPr="00DB6187">
              <w:rPr>
                <w:rFonts w:ascii="Times New Roman" w:hAnsi="Times New Roman" w:cs="Times New Roman"/>
                <w:bCs/>
                <w:color w:val="212121"/>
              </w:rPr>
              <w:t xml:space="preserve">ustice </w:t>
            </w:r>
            <w:r>
              <w:rPr>
                <w:bCs/>
                <w:color w:val="212121"/>
              </w:rPr>
              <w:t>P</w:t>
            </w:r>
            <w:r w:rsidRPr="00DB6187">
              <w:rPr>
                <w:rFonts w:ascii="Times New Roman" w:hAnsi="Times New Roman" w:cs="Times New Roman"/>
                <w:bCs/>
                <w:color w:val="212121"/>
              </w:rPr>
              <w:t>rogram, Society for International Development</w:t>
            </w:r>
            <w:r>
              <w:rPr>
                <w:bCs/>
                <w:color w:val="212121"/>
              </w:rPr>
              <w:t xml:space="preserve">, SID, </w:t>
            </w:r>
            <w:r w:rsidRPr="00DB6187">
              <w:rPr>
                <w:rFonts w:ascii="Times New Roman" w:hAnsi="Times New Roman" w:cs="Times New Roman"/>
                <w:bCs/>
                <w:color w:val="212121"/>
              </w:rPr>
              <w:t>Italy)</w:t>
            </w:r>
          </w:p>
          <w:p w14:paraId="129B140A" w14:textId="77777777" w:rsidR="00AD3C51" w:rsidRDefault="00AD3C51" w:rsidP="00505A07">
            <w:pPr>
              <w:pStyle w:val="NormalWeb"/>
              <w:shd w:val="clear" w:color="auto" w:fill="FFFFFF"/>
              <w:adjustRightInd w:val="0"/>
              <w:snapToGrid w:val="0"/>
              <w:spacing w:before="0" w:beforeAutospacing="0" w:after="0" w:afterAutospacing="0"/>
              <w:jc w:val="both"/>
              <w:rPr>
                <w:bCs/>
                <w:color w:val="212121"/>
              </w:rPr>
            </w:pPr>
          </w:p>
          <w:p w14:paraId="625C78AE" w14:textId="77777777" w:rsidR="00AD3C51" w:rsidRPr="00DB6187" w:rsidRDefault="00AD3C51" w:rsidP="00505A07">
            <w:pPr>
              <w:pStyle w:val="NormalWeb"/>
              <w:shd w:val="clear" w:color="auto" w:fill="FFFFFF"/>
              <w:adjustRightInd w:val="0"/>
              <w:snapToGrid w:val="0"/>
              <w:spacing w:before="0" w:beforeAutospacing="0" w:after="0" w:afterAutospacing="0"/>
              <w:jc w:val="both"/>
              <w:rPr>
                <w:rFonts w:ascii="Times New Roman" w:hAnsi="Times New Roman" w:cs="Times New Roman"/>
                <w:bCs/>
                <w:color w:val="222222"/>
                <w:lang w:val="en-GB"/>
              </w:rPr>
            </w:pPr>
          </w:p>
          <w:p w14:paraId="108E9C22" w14:textId="77777777" w:rsidR="00AD3C51" w:rsidRPr="00DB6187" w:rsidRDefault="00AD3C51" w:rsidP="00505A07">
            <w:pPr>
              <w:pStyle w:val="NormalWeb"/>
              <w:shd w:val="clear" w:color="auto" w:fill="FFFFFF"/>
              <w:adjustRightInd w:val="0"/>
              <w:snapToGrid w:val="0"/>
              <w:spacing w:before="0" w:beforeAutospacing="0" w:after="0" w:afterAutospacing="0"/>
              <w:jc w:val="both"/>
              <w:rPr>
                <w:rFonts w:ascii="Times New Roman" w:hAnsi="Times New Roman" w:cs="Times New Roman"/>
                <w:bCs/>
                <w:color w:val="222222"/>
              </w:rPr>
            </w:pPr>
            <w:r w:rsidRPr="00DB6187">
              <w:rPr>
                <w:rFonts w:ascii="Times New Roman" w:hAnsi="Times New Roman" w:cs="Times New Roman"/>
                <w:bCs/>
                <w:color w:val="212121"/>
              </w:rPr>
              <w:t>Speakers:</w:t>
            </w:r>
          </w:p>
          <w:p w14:paraId="4A086D90" w14:textId="77777777" w:rsidR="00AD3C51" w:rsidRDefault="00AD3C51" w:rsidP="00505A07">
            <w:pPr>
              <w:rPr>
                <w:rFonts w:ascii="Times New Roman" w:hAnsi="Times New Roman" w:cs="Times New Roman"/>
                <w:bCs/>
                <w:sz w:val="24"/>
                <w:szCs w:val="24"/>
              </w:rPr>
            </w:pPr>
            <w:r w:rsidRPr="00DB6187">
              <w:rPr>
                <w:rFonts w:ascii="Times New Roman" w:hAnsi="Times New Roman" w:cs="Times New Roman"/>
                <w:bCs/>
                <w:sz w:val="24"/>
                <w:szCs w:val="24"/>
              </w:rPr>
              <w:t>Maria José ROMERO</w:t>
            </w:r>
            <w:r>
              <w:rPr>
                <w:rFonts w:ascii="Times New Roman" w:hAnsi="Times New Roman" w:cs="Times New Roman"/>
                <w:bCs/>
                <w:sz w:val="24"/>
                <w:szCs w:val="24"/>
              </w:rPr>
              <w:t xml:space="preserve"> (</w:t>
            </w:r>
            <w:r w:rsidRPr="00DB6187">
              <w:rPr>
                <w:rFonts w:ascii="Times New Roman" w:hAnsi="Times New Roman" w:cs="Times New Roman"/>
                <w:bCs/>
                <w:sz w:val="24"/>
                <w:szCs w:val="24"/>
              </w:rPr>
              <w:t>European Network on Debt and Development</w:t>
            </w:r>
            <w:r>
              <w:rPr>
                <w:rFonts w:ascii="Times New Roman" w:hAnsi="Times New Roman" w:cs="Times New Roman"/>
                <w:bCs/>
                <w:sz w:val="24"/>
                <w:szCs w:val="24"/>
              </w:rPr>
              <w:t>, EURODAD, Belgium)</w:t>
            </w:r>
          </w:p>
          <w:p w14:paraId="40600368" w14:textId="77777777" w:rsidR="00AD3C51" w:rsidRDefault="00AD3C51" w:rsidP="00505A07">
            <w:pPr>
              <w:rPr>
                <w:rFonts w:ascii="Times New Roman" w:hAnsi="Times New Roman" w:cs="Times New Roman"/>
                <w:bCs/>
                <w:sz w:val="24"/>
                <w:szCs w:val="24"/>
              </w:rPr>
            </w:pPr>
            <w:r w:rsidRPr="00DB6187">
              <w:rPr>
                <w:rFonts w:ascii="Times New Roman" w:hAnsi="Times New Roman" w:cs="Times New Roman"/>
                <w:bCs/>
                <w:sz w:val="24"/>
                <w:szCs w:val="24"/>
              </w:rPr>
              <w:t>Marco ANGELO</w:t>
            </w:r>
            <w:r>
              <w:rPr>
                <w:rFonts w:ascii="Times New Roman" w:hAnsi="Times New Roman" w:cs="Times New Roman"/>
                <w:bCs/>
                <w:sz w:val="24"/>
                <w:szCs w:val="24"/>
              </w:rPr>
              <w:t xml:space="preserve"> (Working Group on Medical Development Cooperation, WEMOS, Netherlands)</w:t>
            </w:r>
          </w:p>
          <w:p w14:paraId="3E6F7B4E" w14:textId="77777777" w:rsidR="00AD3C51" w:rsidRPr="00DB6187" w:rsidRDefault="00AD3C51" w:rsidP="00505A07">
            <w:pPr>
              <w:rPr>
                <w:rFonts w:ascii="Times New Roman" w:hAnsi="Times New Roman" w:cs="Times New Roman"/>
                <w:bCs/>
                <w:sz w:val="24"/>
                <w:szCs w:val="24"/>
              </w:rPr>
            </w:pPr>
            <w:r w:rsidRPr="00DB6187">
              <w:rPr>
                <w:rFonts w:ascii="Times New Roman" w:hAnsi="Times New Roman" w:cs="Times New Roman"/>
                <w:bCs/>
                <w:sz w:val="24"/>
                <w:szCs w:val="24"/>
              </w:rPr>
              <w:t>Felix STEIN (Centre for Development and the Environment, Oslo University, Norway)</w:t>
            </w:r>
          </w:p>
          <w:p w14:paraId="55DA46F6" w14:textId="77777777" w:rsidR="00AD3C51" w:rsidRDefault="00AD3C51" w:rsidP="00505A07">
            <w:pPr>
              <w:rPr>
                <w:rFonts w:ascii="Times New Roman" w:hAnsi="Times New Roman" w:cs="Times New Roman"/>
                <w:bCs/>
                <w:sz w:val="24"/>
                <w:szCs w:val="24"/>
              </w:rPr>
            </w:pPr>
            <w:r w:rsidRPr="00DB6187">
              <w:rPr>
                <w:rFonts w:ascii="Times New Roman" w:hAnsi="Times New Roman" w:cs="Times New Roman"/>
                <w:bCs/>
                <w:sz w:val="24"/>
                <w:szCs w:val="24"/>
              </w:rPr>
              <w:t>Sara HUGHES-MCLURE (Cambridge University, UK) (tbc) </w:t>
            </w:r>
          </w:p>
          <w:p w14:paraId="31E12D3A" w14:textId="77777777" w:rsidR="00AD3C51" w:rsidRDefault="00AD3C51" w:rsidP="00505A07">
            <w:pPr>
              <w:rPr>
                <w:rFonts w:ascii="Times New Roman" w:hAnsi="Times New Roman" w:cs="Times New Roman"/>
                <w:bCs/>
                <w:sz w:val="24"/>
                <w:szCs w:val="24"/>
              </w:rPr>
            </w:pPr>
          </w:p>
          <w:p w14:paraId="2690C617" w14:textId="77777777" w:rsidR="00AD3C51" w:rsidRPr="00DB6187" w:rsidRDefault="00AD3C51" w:rsidP="00505A07">
            <w:pPr>
              <w:rPr>
                <w:rFonts w:ascii="Times New Roman" w:eastAsia="DengXian" w:hAnsi="Times New Roman" w:cs="Times New Roman" w:hint="eastAsia"/>
                <w:bCs/>
                <w:sz w:val="24"/>
                <w:szCs w:val="24"/>
              </w:rPr>
            </w:pPr>
          </w:p>
        </w:tc>
      </w:tr>
    </w:tbl>
    <w:p w14:paraId="09BE96C5" w14:textId="77777777" w:rsidR="00AD3C51" w:rsidRPr="00AD3C51" w:rsidRDefault="00AD3C51" w:rsidP="00A951A3">
      <w:pPr>
        <w:pStyle w:val="NormalWeb"/>
        <w:shd w:val="clear" w:color="auto" w:fill="FFFFFF"/>
        <w:adjustRightInd w:val="0"/>
        <w:snapToGrid w:val="0"/>
        <w:spacing w:before="0" w:beforeAutospacing="0" w:after="0" w:afterAutospacing="0"/>
        <w:jc w:val="both"/>
        <w:rPr>
          <w:rFonts w:ascii="Calibri" w:hAnsi="Calibri" w:cs="Calibri" w:hint="eastAsia"/>
          <w:color w:val="222222"/>
          <w:sz w:val="22"/>
          <w:szCs w:val="22"/>
        </w:rPr>
      </w:pPr>
    </w:p>
    <w:p w14:paraId="5C202178" w14:textId="77777777" w:rsidR="00AD3C51" w:rsidRDefault="00AD3C51" w:rsidP="00A951A3">
      <w:pPr>
        <w:pStyle w:val="NormalWeb"/>
        <w:shd w:val="clear" w:color="auto" w:fill="FFFFFF"/>
        <w:adjustRightInd w:val="0"/>
        <w:snapToGrid w:val="0"/>
        <w:spacing w:before="0" w:beforeAutospacing="0" w:after="0" w:afterAutospacing="0"/>
        <w:jc w:val="both"/>
        <w:rPr>
          <w:rFonts w:ascii="Calibri" w:hAnsi="Calibri" w:cs="Calibri"/>
          <w:color w:val="222222"/>
          <w:sz w:val="22"/>
          <w:szCs w:val="22"/>
        </w:rPr>
      </w:pPr>
    </w:p>
    <w:p w14:paraId="4902A10F" w14:textId="77777777" w:rsidR="00AD3C51" w:rsidRDefault="00AD3C51" w:rsidP="00A951A3">
      <w:pPr>
        <w:pStyle w:val="NormalWeb"/>
        <w:shd w:val="clear" w:color="auto" w:fill="FFFFFF"/>
        <w:adjustRightInd w:val="0"/>
        <w:snapToGrid w:val="0"/>
        <w:spacing w:before="0" w:beforeAutospacing="0" w:after="0" w:afterAutospacing="0"/>
        <w:jc w:val="both"/>
        <w:rPr>
          <w:rFonts w:ascii="Calibri" w:hAnsi="Calibri" w:cs="Calibri" w:hint="eastAsia"/>
          <w:color w:val="222222"/>
          <w:sz w:val="22"/>
          <w:szCs w:val="22"/>
        </w:rPr>
      </w:pPr>
    </w:p>
    <w:p w14:paraId="6258D882" w14:textId="77777777" w:rsidR="00A951A3" w:rsidRDefault="00A951A3" w:rsidP="00A951A3">
      <w:pPr>
        <w:pStyle w:val="NormalWeb"/>
        <w:shd w:val="clear" w:color="auto" w:fill="FFFFFF"/>
        <w:adjustRightInd w:val="0"/>
        <w:snapToGrid w:val="0"/>
        <w:spacing w:before="0" w:beforeAutospacing="0" w:after="0" w:afterAutospacing="0"/>
        <w:jc w:val="both"/>
        <w:rPr>
          <w:rFonts w:ascii="Calibri" w:hAnsi="Calibri" w:cs="Calibri"/>
          <w:color w:val="222222"/>
          <w:sz w:val="22"/>
          <w:szCs w:val="22"/>
        </w:rPr>
      </w:pPr>
      <w:r>
        <w:rPr>
          <w:rFonts w:ascii="Open Sans" w:hAnsi="Open Sans" w:cs="Open Sans"/>
          <w:b/>
          <w:bCs/>
          <w:color w:val="212121"/>
          <w:sz w:val="22"/>
          <w:szCs w:val="22"/>
        </w:rPr>
        <w:t>Follow on readings:  </w:t>
      </w:r>
    </w:p>
    <w:p w14:paraId="0576E8F1" w14:textId="77777777" w:rsidR="00A951A3" w:rsidRDefault="00A951A3" w:rsidP="00A951A3">
      <w:pPr>
        <w:pStyle w:val="NormalWeb"/>
        <w:shd w:val="clear" w:color="auto" w:fill="FFFFFF"/>
        <w:adjustRightInd w:val="0"/>
        <w:snapToGrid w:val="0"/>
        <w:spacing w:before="0" w:beforeAutospacing="0" w:after="0" w:afterAutospacing="0"/>
        <w:jc w:val="both"/>
        <w:rPr>
          <w:rFonts w:ascii="Calibri" w:hAnsi="Calibri" w:cs="Calibri"/>
          <w:color w:val="222222"/>
          <w:sz w:val="22"/>
          <w:szCs w:val="22"/>
        </w:rPr>
      </w:pPr>
      <w:r>
        <w:rPr>
          <w:rFonts w:ascii="Open Sans" w:hAnsi="Open Sans" w:cs="Open Sans"/>
          <w:color w:val="212121"/>
          <w:sz w:val="22"/>
          <w:szCs w:val="22"/>
        </w:rPr>
        <w:t> </w:t>
      </w:r>
    </w:p>
    <w:p w14:paraId="3DD326BD" w14:textId="77777777" w:rsidR="00A951A3" w:rsidRDefault="00A951A3"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r>
        <w:rPr>
          <w:rFonts w:ascii="Open Sans" w:hAnsi="Open Sans" w:cs="Open Sans"/>
          <w:color w:val="212121"/>
        </w:rPr>
        <w:t>Hunter, B.M., Murray S.F., (2019). Deconstructing the Financialization of Healthcare.  In </w:t>
      </w:r>
      <w:r>
        <w:rPr>
          <w:rFonts w:ascii="Open Sans" w:hAnsi="Open Sans" w:cs="Open Sans"/>
          <w:i/>
          <w:iCs/>
          <w:color w:val="212121"/>
        </w:rPr>
        <w:t>Development and Change</w:t>
      </w:r>
    </w:p>
    <w:p w14:paraId="6881FB8C" w14:textId="77777777" w:rsidR="00A951A3" w:rsidRDefault="00000000"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hyperlink r:id="rId6" w:tgtFrame="_blank" w:tooltip="https://onlinelibrary.wiley.com/doi/full/10.1111/dech.12517" w:history="1">
        <w:r w:rsidR="00A951A3">
          <w:rPr>
            <w:rStyle w:val="Hyperlink"/>
            <w:rFonts w:ascii="Open Sans" w:hAnsi="Open Sans" w:cs="Open Sans"/>
            <w:color w:val="0078D7"/>
          </w:rPr>
          <w:t>https://onlinelibrary.wiley.com/doi/full/10.1111/dech.12517</w:t>
        </w:r>
      </w:hyperlink>
    </w:p>
    <w:p w14:paraId="5D9C105C" w14:textId="77777777" w:rsidR="00A951A3" w:rsidRDefault="00A951A3"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r>
        <w:rPr>
          <w:rFonts w:ascii="Open Sans" w:hAnsi="Open Sans" w:cs="Open Sans"/>
          <w:color w:val="212121"/>
          <w:sz w:val="22"/>
          <w:szCs w:val="22"/>
        </w:rPr>
        <w:t> </w:t>
      </w:r>
    </w:p>
    <w:p w14:paraId="472C85D8" w14:textId="77777777" w:rsidR="00A951A3" w:rsidRDefault="00A951A3"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r>
        <w:rPr>
          <w:rFonts w:ascii="Open Sans" w:hAnsi="Open Sans" w:cs="Open Sans"/>
          <w:color w:val="212121"/>
        </w:rPr>
        <w:t xml:space="preserve">Romero, M.J., (2018). History </w:t>
      </w:r>
      <w:proofErr w:type="spellStart"/>
      <w:r>
        <w:rPr>
          <w:rFonts w:ascii="Open Sans" w:hAnsi="Open Sans" w:cs="Open Sans"/>
          <w:color w:val="212121"/>
        </w:rPr>
        <w:t>RePPPeated</w:t>
      </w:r>
      <w:proofErr w:type="spellEnd"/>
      <w:r>
        <w:rPr>
          <w:rFonts w:ascii="Open Sans" w:hAnsi="Open Sans" w:cs="Open Sans"/>
          <w:color w:val="212121"/>
        </w:rPr>
        <w:t xml:space="preserve">: How public-private partnerships are failing. </w:t>
      </w:r>
      <w:proofErr w:type="spellStart"/>
      <w:r>
        <w:rPr>
          <w:rFonts w:ascii="Open Sans" w:hAnsi="Open Sans" w:cs="Open Sans"/>
          <w:color w:val="212121"/>
        </w:rPr>
        <w:t>Eurodad</w:t>
      </w:r>
      <w:proofErr w:type="spellEnd"/>
      <w:r>
        <w:rPr>
          <w:rFonts w:ascii="Open Sans" w:hAnsi="Open Sans" w:cs="Open Sans"/>
          <w:color w:val="212121"/>
        </w:rPr>
        <w:t xml:space="preserve"> Report, October 2018,</w:t>
      </w:r>
    </w:p>
    <w:p w14:paraId="121782F1" w14:textId="77777777" w:rsidR="00A951A3" w:rsidRDefault="00000000"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hyperlink r:id="rId7" w:tgtFrame="_blank" w:tooltip="https://assets.nationbuilder.com/eurodad/pages/508/attachments/original/1590679608/How_Public_Private_Partnerships_are_failing.pdf?1590679608" w:history="1">
        <w:r w:rsidR="00A951A3">
          <w:rPr>
            <w:rStyle w:val="Hyperlink"/>
            <w:rFonts w:ascii="Open Sans" w:hAnsi="Open Sans" w:cs="Open Sans"/>
            <w:color w:val="0078D7"/>
          </w:rPr>
          <w:t>https://assets.nationbuilder.com/eurodad/pages/508/attachments/original/1590679608/How_Public_Private_Partnerships_are_failing.pdf?1590679608</w:t>
        </w:r>
      </w:hyperlink>
    </w:p>
    <w:p w14:paraId="2B07185E" w14:textId="77777777" w:rsidR="00A951A3" w:rsidRDefault="00A951A3"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r>
        <w:rPr>
          <w:rFonts w:ascii="Open Sans" w:hAnsi="Open Sans" w:cs="Open Sans"/>
          <w:color w:val="212121"/>
        </w:rPr>
        <w:t> </w:t>
      </w:r>
    </w:p>
    <w:p w14:paraId="4A3E8632" w14:textId="77777777" w:rsidR="00A951A3" w:rsidRDefault="00A951A3"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proofErr w:type="spellStart"/>
      <w:r>
        <w:rPr>
          <w:rFonts w:ascii="Open Sans" w:hAnsi="Open Sans" w:cs="Open Sans"/>
          <w:color w:val="212121"/>
        </w:rPr>
        <w:t>Blavot</w:t>
      </w:r>
      <w:proofErr w:type="spellEnd"/>
      <w:r>
        <w:rPr>
          <w:rFonts w:ascii="Open Sans" w:hAnsi="Open Sans" w:cs="Open Sans"/>
          <w:color w:val="212121"/>
        </w:rPr>
        <w:t xml:space="preserve">, O., (2022). History </w:t>
      </w:r>
      <w:proofErr w:type="spellStart"/>
      <w:r>
        <w:rPr>
          <w:rFonts w:ascii="Open Sans" w:hAnsi="Open Sans" w:cs="Open Sans"/>
          <w:color w:val="212121"/>
        </w:rPr>
        <w:t>RePPPeated</w:t>
      </w:r>
      <w:proofErr w:type="spellEnd"/>
      <w:r>
        <w:rPr>
          <w:rFonts w:ascii="Open Sans" w:hAnsi="Open Sans" w:cs="Open Sans"/>
          <w:color w:val="212121"/>
        </w:rPr>
        <w:t xml:space="preserve"> II: Why public-private partnerships are not the solution. </w:t>
      </w:r>
      <w:proofErr w:type="spellStart"/>
      <w:r>
        <w:rPr>
          <w:rFonts w:ascii="Open Sans" w:hAnsi="Open Sans" w:cs="Open Sans"/>
          <w:color w:val="212121"/>
        </w:rPr>
        <w:t>Eurodad</w:t>
      </w:r>
      <w:proofErr w:type="spellEnd"/>
      <w:r>
        <w:rPr>
          <w:rFonts w:ascii="Open Sans" w:hAnsi="Open Sans" w:cs="Open Sans"/>
          <w:color w:val="212121"/>
        </w:rPr>
        <w:t xml:space="preserve"> Report, December 2022, </w:t>
      </w:r>
      <w:hyperlink r:id="rId8" w:tgtFrame="_blank" w:tooltip="https://assets.nationbuilder.com/eurodad/pages/3071/attachments/original/1671445992/01_history-rePPPeated-2022-EN_19dec.pdf?1671445992" w:history="1">
        <w:r>
          <w:rPr>
            <w:rStyle w:val="Hyperlink"/>
            <w:rFonts w:ascii="Open Sans" w:hAnsi="Open Sans" w:cs="Open Sans"/>
            <w:color w:val="0078D7"/>
          </w:rPr>
          <w:t>https://assets.nationbuilder.com/eurodad/pages/3071/attachments/original/1671445992/01_history-rePPPeated-2022-EN_19dec.pdf?1671445992</w:t>
        </w:r>
      </w:hyperlink>
    </w:p>
    <w:p w14:paraId="5BAF00E8" w14:textId="77777777" w:rsidR="00A951A3" w:rsidRDefault="00A951A3"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r>
        <w:rPr>
          <w:rFonts w:ascii="Open Sans" w:hAnsi="Open Sans" w:cs="Open Sans"/>
          <w:color w:val="212121"/>
          <w:sz w:val="22"/>
          <w:szCs w:val="22"/>
        </w:rPr>
        <w:t> </w:t>
      </w:r>
    </w:p>
    <w:p w14:paraId="63C2AED4" w14:textId="77777777" w:rsidR="00A951A3" w:rsidRDefault="00A951A3"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r>
        <w:rPr>
          <w:rFonts w:ascii="Open Sans" w:hAnsi="Open Sans" w:cs="Open Sans"/>
          <w:color w:val="212121"/>
        </w:rPr>
        <w:t>Hughes-</w:t>
      </w:r>
      <w:proofErr w:type="spellStart"/>
      <w:r>
        <w:rPr>
          <w:rFonts w:ascii="Open Sans" w:hAnsi="Open Sans" w:cs="Open Sans"/>
          <w:color w:val="212121"/>
        </w:rPr>
        <w:t>McLure</w:t>
      </w:r>
      <w:proofErr w:type="spellEnd"/>
      <w:r>
        <w:rPr>
          <w:rFonts w:ascii="Open Sans" w:hAnsi="Open Sans" w:cs="Open Sans"/>
          <w:color w:val="212121"/>
        </w:rPr>
        <w:t xml:space="preserve">, S., </w:t>
      </w:r>
      <w:proofErr w:type="spellStart"/>
      <w:r>
        <w:rPr>
          <w:rFonts w:ascii="Open Sans" w:hAnsi="Open Sans" w:cs="Open Sans"/>
          <w:color w:val="212121"/>
        </w:rPr>
        <w:t>Mawdsley</w:t>
      </w:r>
      <w:proofErr w:type="spellEnd"/>
      <w:r>
        <w:rPr>
          <w:rFonts w:ascii="Open Sans" w:hAnsi="Open Sans" w:cs="Open Sans"/>
          <w:color w:val="212121"/>
        </w:rPr>
        <w:t>, E., (2022). Innovative Financing for Development? Vaccine Bonds and the Hidden Cost of Financialization. In </w:t>
      </w:r>
      <w:r>
        <w:rPr>
          <w:rFonts w:ascii="Open Sans" w:hAnsi="Open Sans" w:cs="Open Sans"/>
          <w:i/>
          <w:iCs/>
          <w:color w:val="212121"/>
        </w:rPr>
        <w:t>Economic Geography</w:t>
      </w:r>
      <w:r>
        <w:rPr>
          <w:rFonts w:ascii="Open Sans" w:hAnsi="Open Sans" w:cs="Open Sans"/>
          <w:color w:val="212121"/>
        </w:rPr>
        <w:t>, 98:2</w:t>
      </w:r>
      <w:hyperlink r:id="rId9" w:tgtFrame="_blank" w:tooltip="https://www.tandfonline.com/doi/full/10.1080/00130095.2021.2020090" w:history="1">
        <w:r>
          <w:rPr>
            <w:rStyle w:val="Hyperlink"/>
            <w:rFonts w:ascii="Open Sans" w:hAnsi="Open Sans" w:cs="Open Sans"/>
            <w:color w:val="0078D7"/>
          </w:rPr>
          <w:t>https://www.tandfonline.com/doi/full/10.1080/00130095.2021.2020090</w:t>
        </w:r>
      </w:hyperlink>
    </w:p>
    <w:p w14:paraId="3EB9E018" w14:textId="77777777" w:rsidR="00A951A3" w:rsidRDefault="00A951A3"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r>
        <w:rPr>
          <w:rFonts w:ascii="Open Sans" w:hAnsi="Open Sans" w:cs="Open Sans"/>
          <w:color w:val="212121"/>
        </w:rPr>
        <w:t> </w:t>
      </w:r>
    </w:p>
    <w:p w14:paraId="7BD6D3D4" w14:textId="77777777" w:rsidR="00A951A3" w:rsidRDefault="00A951A3"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r>
        <w:rPr>
          <w:rFonts w:ascii="Open Sans" w:hAnsi="Open Sans" w:cs="Open Sans"/>
          <w:color w:val="212121"/>
        </w:rPr>
        <w:t xml:space="preserve">Stein, F., (2021). Risky business: </w:t>
      </w:r>
      <w:proofErr w:type="spellStart"/>
      <w:r>
        <w:rPr>
          <w:rFonts w:ascii="Open Sans" w:hAnsi="Open Sans" w:cs="Open Sans"/>
          <w:color w:val="212121"/>
        </w:rPr>
        <w:t>Covax</w:t>
      </w:r>
      <w:proofErr w:type="spellEnd"/>
      <w:r>
        <w:rPr>
          <w:rFonts w:ascii="Open Sans" w:hAnsi="Open Sans" w:cs="Open Sans"/>
          <w:color w:val="212121"/>
        </w:rPr>
        <w:t xml:space="preserve"> and the financialization of global vaccine </w:t>
      </w:r>
      <w:proofErr w:type="gramStart"/>
      <w:r>
        <w:rPr>
          <w:rFonts w:ascii="Open Sans" w:hAnsi="Open Sans" w:cs="Open Sans"/>
          <w:color w:val="212121"/>
        </w:rPr>
        <w:t>equity,  </w:t>
      </w:r>
      <w:r>
        <w:rPr>
          <w:rFonts w:ascii="Calibri" w:hAnsi="Calibri" w:cs="Calibri"/>
          <w:i/>
          <w:iCs/>
          <w:color w:val="222222"/>
        </w:rPr>
        <w:t>Global</w:t>
      </w:r>
      <w:proofErr w:type="gramEnd"/>
      <w:r>
        <w:rPr>
          <w:rFonts w:ascii="Calibri" w:hAnsi="Calibri" w:cs="Calibri"/>
          <w:i/>
          <w:iCs/>
          <w:color w:val="222222"/>
        </w:rPr>
        <w:t xml:space="preserve"> Health</w:t>
      </w:r>
      <w:r>
        <w:rPr>
          <w:rFonts w:ascii="Calibri" w:hAnsi="Calibri" w:cs="Calibri"/>
          <w:color w:val="222222"/>
        </w:rPr>
        <w:t> </w:t>
      </w:r>
      <w:r>
        <w:rPr>
          <w:rFonts w:ascii="Calibri" w:hAnsi="Calibri" w:cs="Calibri"/>
          <w:b/>
          <w:bCs/>
          <w:color w:val="222222"/>
        </w:rPr>
        <w:t>17</w:t>
      </w:r>
      <w:r>
        <w:rPr>
          <w:rFonts w:ascii="Calibri" w:hAnsi="Calibri" w:cs="Calibri"/>
          <w:color w:val="222222"/>
        </w:rPr>
        <w:t>, 112 (2021).  </w:t>
      </w:r>
      <w:hyperlink r:id="rId10" w:tgtFrame="_blank" w:history="1">
        <w:r>
          <w:rPr>
            <w:rStyle w:val="Hyperlink"/>
            <w:rFonts w:ascii="Open Sans" w:hAnsi="Open Sans" w:cs="Open Sans"/>
            <w:color w:val="1155CC"/>
          </w:rPr>
          <w:t>https://globalizationandhealth.biomedcentral.com/articles/10.1186/s12992-021-00763-8</w:t>
        </w:r>
      </w:hyperlink>
    </w:p>
    <w:p w14:paraId="7B89676B" w14:textId="77777777" w:rsidR="00A951A3" w:rsidRDefault="00A951A3"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r>
        <w:rPr>
          <w:rFonts w:ascii="Open Sans" w:hAnsi="Open Sans" w:cs="Open Sans"/>
          <w:color w:val="212121"/>
        </w:rPr>
        <w:t> </w:t>
      </w:r>
    </w:p>
    <w:p w14:paraId="61517A5E" w14:textId="77777777" w:rsidR="00A951A3" w:rsidRDefault="00A951A3"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r>
        <w:rPr>
          <w:rFonts w:ascii="Open Sans" w:hAnsi="Open Sans" w:cs="Open Sans"/>
          <w:color w:val="212121"/>
        </w:rPr>
        <w:lastRenderedPageBreak/>
        <w:t>Gabor, D., (2019). </w:t>
      </w:r>
      <w:r>
        <w:rPr>
          <w:rFonts w:ascii="Open Sans" w:hAnsi="Open Sans" w:cs="Open Sans"/>
          <w:i/>
          <w:iCs/>
          <w:color w:val="212121"/>
        </w:rPr>
        <w:t xml:space="preserve">Securitization for Sustainability: Does it Help Achieve the Sustainable Development </w:t>
      </w:r>
      <w:proofErr w:type="gramStart"/>
      <w:r>
        <w:rPr>
          <w:rFonts w:ascii="Open Sans" w:hAnsi="Open Sans" w:cs="Open Sans"/>
          <w:i/>
          <w:iCs/>
          <w:color w:val="212121"/>
        </w:rPr>
        <w:t>Goals?.</w:t>
      </w:r>
      <w:proofErr w:type="gramEnd"/>
      <w:r>
        <w:rPr>
          <w:rFonts w:ascii="Open Sans" w:hAnsi="Open Sans" w:cs="Open Sans"/>
          <w:color w:val="212121"/>
        </w:rPr>
        <w:t xml:space="preserve">  Heinrich </w:t>
      </w:r>
      <w:proofErr w:type="spellStart"/>
      <w:r>
        <w:rPr>
          <w:rFonts w:ascii="Open Sans" w:hAnsi="Open Sans" w:cs="Open Sans"/>
          <w:color w:val="212121"/>
        </w:rPr>
        <w:t>Boell</w:t>
      </w:r>
      <w:proofErr w:type="spellEnd"/>
      <w:r>
        <w:rPr>
          <w:rFonts w:ascii="Open Sans" w:hAnsi="Open Sans" w:cs="Open Sans"/>
          <w:color w:val="212121"/>
        </w:rPr>
        <w:t xml:space="preserve"> Stiftung, October 2019</w:t>
      </w:r>
    </w:p>
    <w:p w14:paraId="0DD043CA" w14:textId="77777777" w:rsidR="00A951A3" w:rsidRDefault="00000000"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hyperlink r:id="rId11" w:tgtFrame="_blank" w:tooltip="https://us.boell.org/sites/default/files/gabor_finalized.pdf" w:history="1">
        <w:r w:rsidR="00A951A3">
          <w:rPr>
            <w:rStyle w:val="Hyperlink"/>
            <w:rFonts w:ascii="Open Sans" w:hAnsi="Open Sans" w:cs="Open Sans"/>
            <w:color w:val="0078D7"/>
          </w:rPr>
          <w:t>https://us.boell.org/sites/default/files/gabor_finalized.pdf</w:t>
        </w:r>
      </w:hyperlink>
    </w:p>
    <w:p w14:paraId="09C5557B" w14:textId="77777777" w:rsidR="00A951A3" w:rsidRDefault="00A951A3"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r>
        <w:rPr>
          <w:rFonts w:ascii="Open Sans" w:hAnsi="Open Sans" w:cs="Open Sans"/>
          <w:color w:val="212121"/>
        </w:rPr>
        <w:t> </w:t>
      </w:r>
    </w:p>
    <w:p w14:paraId="726D12E4" w14:textId="77777777" w:rsidR="00A951A3" w:rsidRDefault="00000000"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hyperlink r:id="rId12" w:tgtFrame="_blank" w:tooltip="https://www.wemos.nl/wp-content/uploads/2022/04/Improving-healthcare-but-for-whom.pdf" w:history="1">
        <w:r w:rsidR="00A951A3">
          <w:rPr>
            <w:rStyle w:val="Hyperlink"/>
            <w:rFonts w:ascii="Open Sans" w:hAnsi="Open Sans" w:cs="Open Sans"/>
            <w:color w:val="0078D7"/>
          </w:rPr>
          <w:t>https://www.wemos.nl/wp-content/uploads/2022/04/Improving-healthcare-but-for-whom.pdf</w:t>
        </w:r>
      </w:hyperlink>
      <w:r w:rsidR="00A951A3">
        <w:rPr>
          <w:rFonts w:ascii="Open Sans" w:hAnsi="Open Sans" w:cs="Open Sans"/>
          <w:color w:val="212121"/>
        </w:rPr>
        <w:t>.</w:t>
      </w:r>
    </w:p>
    <w:p w14:paraId="5D7AB268" w14:textId="77777777" w:rsidR="00A951A3" w:rsidRDefault="00A951A3"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r>
        <w:rPr>
          <w:rFonts w:ascii="Open Sans" w:hAnsi="Open Sans" w:cs="Open Sans"/>
          <w:color w:val="212121"/>
        </w:rPr>
        <w:t> </w:t>
      </w:r>
    </w:p>
    <w:p w14:paraId="471B2A1B" w14:textId="77777777" w:rsidR="00A951A3" w:rsidRDefault="00000000"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hyperlink r:id="rId13" w:tgtFrame="_blank" w:tooltip="https://www.wemos.nl/wp-content/uploads/2022/12/Study-of-the-Africa-Medical-Equipment-Facility-in-Kenya_2022.pdf" w:history="1">
        <w:r w:rsidR="00A951A3">
          <w:rPr>
            <w:rStyle w:val="Hyperlink"/>
            <w:rFonts w:ascii="Open Sans" w:hAnsi="Open Sans" w:cs="Open Sans"/>
            <w:color w:val="0078D7"/>
          </w:rPr>
          <w:t>https://www.wemos.nl/wp-content/uploads/2022/12/Study-of-the-Africa-Medical-Equipment-Facility-in-Kenya_2022.pdf</w:t>
        </w:r>
      </w:hyperlink>
      <w:r w:rsidR="00A951A3">
        <w:rPr>
          <w:rFonts w:ascii="Open Sans" w:hAnsi="Open Sans" w:cs="Open Sans"/>
          <w:color w:val="212121"/>
        </w:rPr>
        <w:t>.</w:t>
      </w:r>
    </w:p>
    <w:p w14:paraId="782B1DFB" w14:textId="77777777" w:rsidR="00A951A3" w:rsidRDefault="00A951A3" w:rsidP="00A951A3">
      <w:pPr>
        <w:pStyle w:val="NormalWeb"/>
        <w:shd w:val="clear" w:color="auto" w:fill="FFFFFF"/>
        <w:adjustRightInd w:val="0"/>
        <w:snapToGrid w:val="0"/>
        <w:spacing w:before="0" w:beforeAutospacing="0" w:after="0" w:afterAutospacing="0"/>
        <w:rPr>
          <w:rFonts w:ascii="Calibri" w:hAnsi="Calibri" w:cs="Calibri"/>
          <w:color w:val="222222"/>
          <w:sz w:val="22"/>
          <w:szCs w:val="22"/>
        </w:rPr>
      </w:pPr>
      <w:r>
        <w:rPr>
          <w:rFonts w:ascii="Open Sans" w:hAnsi="Open Sans" w:cs="Open Sans"/>
          <w:color w:val="212121"/>
        </w:rPr>
        <w:t> </w:t>
      </w:r>
    </w:p>
    <w:p w14:paraId="552669CA" w14:textId="01A097EF" w:rsidR="00D003F8" w:rsidRPr="00A951A3" w:rsidRDefault="00A951A3" w:rsidP="00A951A3">
      <w:pPr>
        <w:pStyle w:val="NormalWeb"/>
        <w:shd w:val="clear" w:color="auto" w:fill="FFFFFF"/>
        <w:adjustRightInd w:val="0"/>
        <w:snapToGrid w:val="0"/>
        <w:spacing w:before="0" w:beforeAutospacing="0" w:after="0" w:afterAutospacing="0"/>
      </w:pPr>
      <w:proofErr w:type="spellStart"/>
      <w:r>
        <w:rPr>
          <w:rFonts w:ascii="Open Sans" w:hAnsi="Open Sans" w:cs="Open Sans"/>
          <w:color w:val="212121"/>
        </w:rPr>
        <w:t>Dentico</w:t>
      </w:r>
      <w:proofErr w:type="spellEnd"/>
      <w:r>
        <w:rPr>
          <w:rFonts w:ascii="Open Sans" w:hAnsi="Open Sans" w:cs="Open Sans"/>
          <w:color w:val="212121"/>
        </w:rPr>
        <w:t xml:space="preserve">, N. (2023). Banking on Health: </w:t>
      </w:r>
      <w:proofErr w:type="gramStart"/>
      <w:r>
        <w:rPr>
          <w:rFonts w:ascii="Open Sans" w:hAnsi="Open Sans" w:cs="Open Sans"/>
          <w:color w:val="212121"/>
        </w:rPr>
        <w:t>the</w:t>
      </w:r>
      <w:proofErr w:type="gramEnd"/>
      <w:r>
        <w:rPr>
          <w:rFonts w:ascii="Open Sans" w:hAnsi="Open Sans" w:cs="Open Sans"/>
          <w:color w:val="212121"/>
        </w:rPr>
        <w:t xml:space="preserve"> Surging Pandemic of Health Financialization. Society for International Development (SID), May 2023, </w:t>
      </w:r>
      <w:hyperlink r:id="rId14" w:tgtFrame="_blank" w:history="1">
        <w:r>
          <w:rPr>
            <w:rStyle w:val="Hyperlink"/>
            <w:rFonts w:ascii="Open Sans" w:hAnsi="Open Sans" w:cs="Open Sans"/>
            <w:color w:val="1155CC"/>
          </w:rPr>
          <w:t>https://g2h2.org/wp-content/uploads/2023/04/HF_policy.pdf</w:t>
        </w:r>
      </w:hyperlink>
      <w:r>
        <w:rPr>
          <w:rFonts w:ascii="Open Sans" w:hAnsi="Open Sans" w:cs="Open Sans"/>
          <w:color w:val="212121"/>
        </w:rPr>
        <w:t>.</w:t>
      </w:r>
    </w:p>
    <w:sectPr w:rsidR="00D003F8" w:rsidRPr="00A951A3" w:rsidSect="00841D1B">
      <w:footerReference w:type="default" r:id="rId15"/>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FE6D" w14:textId="77777777" w:rsidR="00137914" w:rsidRDefault="00137914" w:rsidP="00A951A3">
      <w:r>
        <w:separator/>
      </w:r>
    </w:p>
  </w:endnote>
  <w:endnote w:type="continuationSeparator" w:id="0">
    <w:p w14:paraId="65F527C6" w14:textId="77777777" w:rsidR="00137914" w:rsidRDefault="00137914" w:rsidP="00A9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140019"/>
      <w:docPartObj>
        <w:docPartGallery w:val="Page Numbers (Bottom of Page)"/>
        <w:docPartUnique/>
      </w:docPartObj>
    </w:sdtPr>
    <w:sdtEndPr>
      <w:rPr>
        <w:noProof/>
      </w:rPr>
    </w:sdtEndPr>
    <w:sdtContent>
      <w:p w14:paraId="14722E45" w14:textId="0BF40B03" w:rsidR="00A951A3" w:rsidRDefault="00A95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BB7B23" w14:textId="77777777" w:rsidR="00A951A3" w:rsidRDefault="00A9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8CE5" w14:textId="77777777" w:rsidR="00137914" w:rsidRDefault="00137914" w:rsidP="00A951A3">
      <w:r>
        <w:separator/>
      </w:r>
    </w:p>
  </w:footnote>
  <w:footnote w:type="continuationSeparator" w:id="0">
    <w:p w14:paraId="541626F8" w14:textId="77777777" w:rsidR="00137914" w:rsidRDefault="00137914" w:rsidP="00A95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A3"/>
    <w:rsid w:val="00137914"/>
    <w:rsid w:val="003802E5"/>
    <w:rsid w:val="00841D1B"/>
    <w:rsid w:val="00873117"/>
    <w:rsid w:val="00A951A3"/>
    <w:rsid w:val="00AD3C51"/>
    <w:rsid w:val="00CC0C3A"/>
    <w:rsid w:val="00D003F8"/>
    <w:rsid w:val="00DA20DD"/>
    <w:rsid w:val="00E75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14015"/>
  <w15:chartTrackingRefBased/>
  <w15:docId w15:val="{3D64DFA1-FEF8-46BB-B086-036D52DE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1A3"/>
    <w:pPr>
      <w:widowControl/>
      <w:spacing w:before="100" w:beforeAutospacing="1" w:after="100" w:afterAutospacing="1"/>
      <w:jc w:val="left"/>
    </w:pPr>
    <w:rPr>
      <w:rFonts w:ascii="SimSun" w:eastAsia="SimSun" w:hAnsi="SimSun"/>
      <w:kern w:val="0"/>
      <w:sz w:val="24"/>
      <w:szCs w:val="24"/>
    </w:rPr>
  </w:style>
  <w:style w:type="character" w:styleId="Hyperlink">
    <w:name w:val="Hyperlink"/>
    <w:basedOn w:val="DefaultParagraphFont"/>
    <w:uiPriority w:val="99"/>
    <w:semiHidden/>
    <w:unhideWhenUsed/>
    <w:rsid w:val="00A951A3"/>
    <w:rPr>
      <w:color w:val="0000FF"/>
      <w:u w:val="single"/>
    </w:rPr>
  </w:style>
  <w:style w:type="paragraph" w:styleId="Header">
    <w:name w:val="header"/>
    <w:basedOn w:val="Normal"/>
    <w:link w:val="HeaderChar"/>
    <w:uiPriority w:val="99"/>
    <w:unhideWhenUsed/>
    <w:rsid w:val="00A951A3"/>
    <w:pP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A951A3"/>
    <w:rPr>
      <w:sz w:val="18"/>
      <w:szCs w:val="18"/>
    </w:rPr>
  </w:style>
  <w:style w:type="paragraph" w:styleId="Footer">
    <w:name w:val="footer"/>
    <w:basedOn w:val="Normal"/>
    <w:link w:val="FooterChar"/>
    <w:uiPriority w:val="99"/>
    <w:unhideWhenUsed/>
    <w:rsid w:val="00A951A3"/>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A951A3"/>
    <w:rPr>
      <w:sz w:val="18"/>
      <w:szCs w:val="18"/>
    </w:rPr>
  </w:style>
  <w:style w:type="table" w:customStyle="1" w:styleId="12">
    <w:name w:val="12"/>
    <w:basedOn w:val="TableNormal"/>
    <w:rsid w:val="00AD3C51"/>
    <w:pPr>
      <w:widowControl/>
      <w:spacing w:line="276" w:lineRule="auto"/>
      <w:jc w:val="left"/>
    </w:pPr>
    <w:rPr>
      <w:rFonts w:ascii="Arial" w:eastAsia="SimSun" w:hAnsi="Arial" w:cs="Arial"/>
      <w:kern w:val="0"/>
      <w:sz w:val="22"/>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AD3C51"/>
    <w:pPr>
      <w:widowControl/>
      <w:spacing w:line="276" w:lineRule="auto"/>
      <w:jc w:val="left"/>
    </w:pPr>
    <w:rPr>
      <w:rFonts w:ascii="Arial" w:eastAsia="SimSun" w:hAnsi="Arial" w:cs="Arial"/>
      <w:kern w:val="0"/>
      <w:sz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3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nationbuilder.com/eurodad/pages/3071/attachments/original/1671445992/01_history-rePPPeated-2022-EN_19dec.pdf?1671445992" TargetMode="External"/><Relationship Id="rId13" Type="http://schemas.openxmlformats.org/officeDocument/2006/relationships/hyperlink" Target="https://www.wemos.nl/wp-content/uploads/2022/12/Study-of-the-Africa-Medical-Equipment-Facility-in-Kenya_2022.pdf" TargetMode="External"/><Relationship Id="rId3" Type="http://schemas.openxmlformats.org/officeDocument/2006/relationships/webSettings" Target="webSettings.xml"/><Relationship Id="rId7" Type="http://schemas.openxmlformats.org/officeDocument/2006/relationships/hyperlink" Target="https://assets.nationbuilder.com/eurodad/pages/508/attachments/original/1590679608/How_Public_Private_Partnerships_are_failing.pdf?1590679608" TargetMode="External"/><Relationship Id="rId12" Type="http://schemas.openxmlformats.org/officeDocument/2006/relationships/hyperlink" Target="https://www.wemos.nl/wp-content/uploads/2022/04/Improving-healthcare-but-for-whom.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nlinelibrary.wiley.com/doi/full/10.1111/dech.12517" TargetMode="External"/><Relationship Id="rId11" Type="http://schemas.openxmlformats.org/officeDocument/2006/relationships/hyperlink" Target="https://us.boell.org/sites/default/files/gabor_finalized.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globalizationandhealth.biomedcentral.com/articles/10.1186/s12992-021-00763-8" TargetMode="External"/><Relationship Id="rId4" Type="http://schemas.openxmlformats.org/officeDocument/2006/relationships/footnotes" Target="footnotes.xml"/><Relationship Id="rId9" Type="http://schemas.openxmlformats.org/officeDocument/2006/relationships/hyperlink" Target="https://www.tandfonline.com/doi/full/10.1080/00130095.2021.2020090" TargetMode="External"/><Relationship Id="rId14" Type="http://schemas.openxmlformats.org/officeDocument/2006/relationships/hyperlink" Target="https://g2h2.org/wp-content/uploads/2023/04/HF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sittsui@gmail.com</dc:creator>
  <cp:keywords/>
  <dc:description/>
  <cp:lastModifiedBy>sittsui@gmail.com</cp:lastModifiedBy>
  <cp:revision>4</cp:revision>
  <dcterms:created xsi:type="dcterms:W3CDTF">2023-06-28T04:51:00Z</dcterms:created>
  <dcterms:modified xsi:type="dcterms:W3CDTF">2023-06-28T06:36:00Z</dcterms:modified>
</cp:coreProperties>
</file>