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90" w:rsidRDefault="003B2B90" w:rsidP="00D60A4E">
      <w:pPr>
        <w:spacing w:after="0" w:line="240" w:lineRule="auto"/>
        <w:jc w:val="center"/>
        <w:rPr>
          <w:rFonts w:ascii="Times New Roman" w:hAnsi="Times New Roman" w:cs="Times New Roman"/>
          <w:b/>
          <w:sz w:val="24"/>
          <w:szCs w:val="24"/>
        </w:rPr>
      </w:pPr>
    </w:p>
    <w:p w:rsidR="003B2B90" w:rsidRDefault="003B2B90" w:rsidP="00D60A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FSM  TUNIS  2015  file FMA/FTM</w:t>
      </w:r>
      <w:bookmarkStart w:id="0" w:name="_GoBack"/>
      <w:bookmarkEnd w:id="0"/>
    </w:p>
    <w:p w:rsidR="003B2B90" w:rsidRDefault="003B2B90" w:rsidP="00D60A4E">
      <w:pPr>
        <w:spacing w:after="0" w:line="240" w:lineRule="auto"/>
        <w:jc w:val="center"/>
        <w:rPr>
          <w:rFonts w:ascii="Times New Roman" w:hAnsi="Times New Roman" w:cs="Times New Roman"/>
          <w:b/>
          <w:sz w:val="24"/>
          <w:szCs w:val="24"/>
        </w:rPr>
      </w:pPr>
    </w:p>
    <w:p w:rsidR="00D608CA" w:rsidRDefault="00D608CA" w:rsidP="00D60A4E">
      <w:pPr>
        <w:spacing w:after="0" w:line="240" w:lineRule="auto"/>
        <w:jc w:val="center"/>
        <w:rPr>
          <w:rFonts w:ascii="Times New Roman" w:hAnsi="Times New Roman" w:cs="Times New Roman"/>
          <w:b/>
          <w:sz w:val="24"/>
          <w:szCs w:val="24"/>
        </w:rPr>
      </w:pPr>
      <w:r>
        <w:rPr>
          <w:noProof/>
          <w:lang w:eastAsia="fr-FR"/>
        </w:rPr>
        <w:drawing>
          <wp:inline distT="0" distB="0" distL="0" distR="0" wp14:anchorId="0131C764" wp14:editId="6DBAEB84">
            <wp:extent cx="930275" cy="695960"/>
            <wp:effectExtent l="0" t="0" r="317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695960"/>
                    </a:xfrm>
                    <a:prstGeom prst="rect">
                      <a:avLst/>
                    </a:prstGeom>
                    <a:noFill/>
                    <a:ln>
                      <a:noFill/>
                    </a:ln>
                  </pic:spPr>
                </pic:pic>
              </a:graphicData>
            </a:graphic>
          </wp:inline>
        </w:drawing>
      </w:r>
    </w:p>
    <w:p w:rsidR="00D03E44" w:rsidRDefault="00DC1C8B" w:rsidP="00D60A4E">
      <w:pPr>
        <w:spacing w:after="0" w:line="240" w:lineRule="auto"/>
        <w:jc w:val="center"/>
        <w:rPr>
          <w:rFonts w:ascii="Times New Roman" w:hAnsi="Times New Roman" w:cs="Times New Roman"/>
          <w:b/>
          <w:sz w:val="24"/>
          <w:szCs w:val="24"/>
        </w:rPr>
      </w:pPr>
      <w:r w:rsidRPr="00D60A4E">
        <w:rPr>
          <w:rFonts w:ascii="Times New Roman" w:hAnsi="Times New Roman" w:cs="Times New Roman"/>
          <w:b/>
          <w:sz w:val="24"/>
          <w:szCs w:val="24"/>
        </w:rPr>
        <w:t xml:space="preserve">Commentaires </w:t>
      </w:r>
      <w:r w:rsidR="00836158">
        <w:rPr>
          <w:rFonts w:ascii="Times New Roman" w:hAnsi="Times New Roman" w:cs="Times New Roman"/>
          <w:b/>
          <w:sz w:val="24"/>
          <w:szCs w:val="24"/>
        </w:rPr>
        <w:t>sur l</w:t>
      </w:r>
      <w:r w:rsidR="00D6545C">
        <w:rPr>
          <w:rFonts w:ascii="Times New Roman" w:hAnsi="Times New Roman" w:cs="Times New Roman"/>
          <w:b/>
          <w:sz w:val="24"/>
          <w:szCs w:val="24"/>
        </w:rPr>
        <w:t>es aspects tarifaires d</w:t>
      </w:r>
      <w:r w:rsidRPr="00D60A4E">
        <w:rPr>
          <w:rFonts w:ascii="Times New Roman" w:hAnsi="Times New Roman" w:cs="Times New Roman"/>
          <w:b/>
          <w:sz w:val="24"/>
          <w:szCs w:val="24"/>
        </w:rPr>
        <w:t>e l</w:t>
      </w:r>
      <w:r w:rsidR="00D60A4E" w:rsidRPr="00D60A4E">
        <w:rPr>
          <w:rFonts w:ascii="Times New Roman" w:hAnsi="Times New Roman" w:cs="Times New Roman"/>
          <w:b/>
          <w:sz w:val="24"/>
          <w:szCs w:val="24"/>
        </w:rPr>
        <w:t>'</w:t>
      </w:r>
      <w:r w:rsidRPr="00D60A4E">
        <w:rPr>
          <w:rFonts w:ascii="Times New Roman" w:hAnsi="Times New Roman" w:cs="Times New Roman"/>
          <w:b/>
          <w:sz w:val="24"/>
          <w:szCs w:val="24"/>
        </w:rPr>
        <w:t>APE Afrique de l</w:t>
      </w:r>
      <w:r w:rsidR="00D60A4E" w:rsidRPr="00D60A4E">
        <w:rPr>
          <w:rFonts w:ascii="Times New Roman" w:hAnsi="Times New Roman" w:cs="Times New Roman"/>
          <w:b/>
          <w:sz w:val="24"/>
          <w:szCs w:val="24"/>
        </w:rPr>
        <w:t>'</w:t>
      </w:r>
      <w:r w:rsidRPr="00D60A4E">
        <w:rPr>
          <w:rFonts w:ascii="Times New Roman" w:hAnsi="Times New Roman" w:cs="Times New Roman"/>
          <w:b/>
          <w:sz w:val="24"/>
          <w:szCs w:val="24"/>
        </w:rPr>
        <w:t>Ouest</w:t>
      </w:r>
    </w:p>
    <w:p w:rsidR="00D60A4E" w:rsidRDefault="00D608CA" w:rsidP="00D60A4E">
      <w:pPr>
        <w:spacing w:after="0" w:line="240" w:lineRule="auto"/>
        <w:jc w:val="center"/>
        <w:rPr>
          <w:rFonts w:ascii="Times New Roman" w:hAnsi="Times New Roman" w:cs="Times New Roman"/>
          <w:sz w:val="24"/>
          <w:szCs w:val="24"/>
        </w:rPr>
      </w:pPr>
      <w:r w:rsidRPr="00D608CA">
        <w:rPr>
          <w:rFonts w:ascii="Times New Roman" w:hAnsi="Times New Roman" w:cs="Times New Roman"/>
          <w:sz w:val="24"/>
          <w:szCs w:val="24"/>
        </w:rPr>
        <w:t>Jacques Berthelot (</w:t>
      </w:r>
      <w:hyperlink r:id="rId9" w:history="1">
        <w:r w:rsidR="00F42B4D" w:rsidRPr="00F42B4D">
          <w:rPr>
            <w:rStyle w:val="Lienhypertexte"/>
            <w:rFonts w:ascii="Times New Roman" w:hAnsi="Times New Roman" w:cs="Times New Roman"/>
            <w:color w:val="auto"/>
            <w:sz w:val="24"/>
            <w:szCs w:val="24"/>
            <w:u w:val="none"/>
          </w:rPr>
          <w:t>jacques.berthelot4@wanadoo.fr</w:t>
        </w:r>
      </w:hyperlink>
      <w:r w:rsidRPr="00D608CA">
        <w:rPr>
          <w:rFonts w:ascii="Times New Roman" w:hAnsi="Times New Roman" w:cs="Times New Roman"/>
          <w:sz w:val="24"/>
          <w:szCs w:val="24"/>
        </w:rPr>
        <w:t>)</w:t>
      </w:r>
      <w:r w:rsidR="006C48B5">
        <w:rPr>
          <w:rFonts w:ascii="Times New Roman" w:hAnsi="Times New Roman" w:cs="Times New Roman"/>
          <w:sz w:val="24"/>
          <w:szCs w:val="24"/>
        </w:rPr>
        <w:t xml:space="preserve">, le </w:t>
      </w:r>
      <w:r w:rsidR="00F91F97">
        <w:rPr>
          <w:rFonts w:ascii="Times New Roman" w:hAnsi="Times New Roman" w:cs="Times New Roman"/>
          <w:sz w:val="24"/>
          <w:szCs w:val="24"/>
        </w:rPr>
        <w:t>2</w:t>
      </w:r>
      <w:r w:rsidR="00DF4C05">
        <w:rPr>
          <w:rFonts w:ascii="Times New Roman" w:hAnsi="Times New Roman" w:cs="Times New Roman"/>
          <w:sz w:val="24"/>
          <w:szCs w:val="24"/>
        </w:rPr>
        <w:t>2</w:t>
      </w:r>
      <w:r w:rsidR="006C48B5">
        <w:rPr>
          <w:rFonts w:ascii="Times New Roman" w:hAnsi="Times New Roman" w:cs="Times New Roman"/>
          <w:sz w:val="24"/>
          <w:szCs w:val="24"/>
        </w:rPr>
        <w:t xml:space="preserve"> septembr</w:t>
      </w:r>
      <w:r w:rsidR="00F057B6">
        <w:rPr>
          <w:rFonts w:ascii="Times New Roman" w:hAnsi="Times New Roman" w:cs="Times New Roman"/>
          <w:sz w:val="24"/>
          <w:szCs w:val="24"/>
        </w:rPr>
        <w:t>e</w:t>
      </w:r>
      <w:r w:rsidR="006C48B5">
        <w:rPr>
          <w:rFonts w:ascii="Times New Roman" w:hAnsi="Times New Roman" w:cs="Times New Roman"/>
          <w:sz w:val="24"/>
          <w:szCs w:val="24"/>
        </w:rPr>
        <w:t xml:space="preserve"> 2014</w:t>
      </w:r>
    </w:p>
    <w:p w:rsidR="00DF4C05" w:rsidRPr="00D608CA" w:rsidRDefault="00DF4C05" w:rsidP="00D60A4E">
      <w:pPr>
        <w:spacing w:after="0" w:line="240" w:lineRule="auto"/>
        <w:jc w:val="center"/>
        <w:rPr>
          <w:rFonts w:ascii="Times New Roman" w:hAnsi="Times New Roman" w:cs="Times New Roman"/>
          <w:sz w:val="24"/>
          <w:szCs w:val="24"/>
        </w:rPr>
      </w:pPr>
    </w:p>
    <w:p w:rsidR="00D608CA" w:rsidRDefault="005743B7" w:rsidP="00DF7E0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-18227</wp:posOffset>
                </wp:positionH>
                <wp:positionV relativeFrom="paragraph">
                  <wp:posOffset>104819</wp:posOffset>
                </wp:positionV>
                <wp:extent cx="5756856" cy="1809481"/>
                <wp:effectExtent l="0" t="0" r="15875" b="19685"/>
                <wp:wrapNone/>
                <wp:docPr id="1" name="Rectangle 1"/>
                <wp:cNvGraphicFramePr/>
                <a:graphic xmlns:a="http://schemas.openxmlformats.org/drawingml/2006/main">
                  <a:graphicData uri="http://schemas.microsoft.com/office/word/2010/wordprocessingShape">
                    <wps:wsp>
                      <wps:cNvSpPr/>
                      <wps:spPr>
                        <a:xfrm>
                          <a:off x="0" y="0"/>
                          <a:ext cx="5756856" cy="180948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48DCB" id="Rectangle 1" o:spid="_x0000_s1026" style="position:absolute;margin-left:-1.45pt;margin-top:8.25pt;width:453.3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" filled="f" strokecolor="black [3213]" strokeweight=".25pt"/>
            </w:pict>
          </mc:Fallback>
        </mc:AlternateContent>
      </w:r>
    </w:p>
    <w:p w:rsidR="005743B7" w:rsidRPr="007B3524" w:rsidRDefault="005743B7" w:rsidP="005743B7">
      <w:pPr>
        <w:pStyle w:val="Titrearticle"/>
        <w:spacing w:before="0" w:after="0"/>
        <w:rPr>
          <w:i w:val="0"/>
          <w:noProof/>
          <w:lang w:val="fr-FR"/>
        </w:rPr>
      </w:pPr>
      <w:r w:rsidRPr="007B3524">
        <w:rPr>
          <w:i w:val="0"/>
          <w:noProof/>
          <w:lang w:val="fr-FR"/>
        </w:rPr>
        <w:t>PLAN</w:t>
      </w:r>
    </w:p>
    <w:p w:rsidR="005743B7" w:rsidRPr="007B3524" w:rsidRDefault="005743B7" w:rsidP="005743B7">
      <w:pPr>
        <w:pStyle w:val="Titrearticle"/>
        <w:spacing w:before="0" w:after="0"/>
        <w:jc w:val="both"/>
        <w:rPr>
          <w:i w:val="0"/>
          <w:noProof/>
          <w:lang w:val="fr-FR"/>
        </w:rPr>
      </w:pPr>
      <w:r w:rsidRPr="007B3524">
        <w:rPr>
          <w:i w:val="0"/>
          <w:noProof/>
          <w:lang w:val="fr-FR"/>
        </w:rPr>
        <w:t>Introduction</w:t>
      </w:r>
    </w:p>
    <w:p w:rsidR="005743B7" w:rsidRPr="007B3524" w:rsidRDefault="005743B7" w:rsidP="005743B7">
      <w:pPr>
        <w:pStyle w:val="Titrearticle"/>
        <w:spacing w:before="0" w:after="0"/>
        <w:jc w:val="both"/>
        <w:rPr>
          <w:i w:val="0"/>
          <w:noProof/>
          <w:lang w:val="fr-FR"/>
        </w:rPr>
      </w:pPr>
      <w:r w:rsidRPr="007B3524">
        <w:rPr>
          <w:i w:val="0"/>
          <w:noProof/>
          <w:lang w:val="fr-FR"/>
        </w:rPr>
        <w:t xml:space="preserve">1) Interdiction d'augmenter les droits de douane </w:t>
      </w:r>
    </w:p>
    <w:p w:rsidR="005743B7" w:rsidRPr="007B3524" w:rsidRDefault="005743B7" w:rsidP="005743B7">
      <w:pPr>
        <w:pStyle w:val="Titrearticle"/>
        <w:spacing w:before="0" w:after="0"/>
        <w:jc w:val="both"/>
        <w:rPr>
          <w:noProof/>
          <w:szCs w:val="24"/>
          <w:lang w:val="fr-FR"/>
        </w:rPr>
      </w:pPr>
      <w:r w:rsidRPr="007B3524">
        <w:rPr>
          <w:i w:val="0"/>
          <w:noProof/>
          <w:lang w:val="fr-FR"/>
        </w:rPr>
        <w:t xml:space="preserve">2) </w:t>
      </w:r>
      <w:r w:rsidR="00346962" w:rsidRPr="007B3524">
        <w:rPr>
          <w:i w:val="0"/>
          <w:noProof/>
          <w:lang w:val="fr-FR"/>
        </w:rPr>
        <w:t>Verrouillage</w:t>
      </w:r>
      <w:r w:rsidRPr="007B3524">
        <w:rPr>
          <w:i w:val="0"/>
          <w:noProof/>
          <w:lang w:val="fr-FR"/>
        </w:rPr>
        <w:t xml:space="preserve"> des droits de douane par ligne tarifaire </w:t>
      </w:r>
    </w:p>
    <w:p w:rsidR="005743B7" w:rsidRPr="00742046" w:rsidRDefault="005743B7" w:rsidP="005743B7">
      <w:pPr>
        <w:spacing w:after="0" w:line="240" w:lineRule="auto"/>
        <w:jc w:val="both"/>
        <w:rPr>
          <w:rFonts w:ascii="Times New Roman" w:hAnsi="Times New Roman" w:cs="Times New Roman"/>
          <w:sz w:val="24"/>
          <w:szCs w:val="24"/>
        </w:rPr>
      </w:pPr>
      <w:r w:rsidRPr="00742046">
        <w:rPr>
          <w:rFonts w:ascii="Times New Roman" w:hAnsi="Times New Roman" w:cs="Times New Roman"/>
          <w:noProof/>
          <w:sz w:val="24"/>
          <w:szCs w:val="24"/>
        </w:rPr>
        <w:t xml:space="preserve">3) Interdiction d'augmenter les taxes à l'exportation </w:t>
      </w:r>
    </w:p>
    <w:p w:rsidR="005743B7" w:rsidRPr="00B269E9" w:rsidRDefault="005743B7" w:rsidP="005743B7">
      <w:pPr>
        <w:spacing w:after="0" w:line="240" w:lineRule="auto"/>
        <w:jc w:val="both"/>
        <w:rPr>
          <w:rFonts w:ascii="Times New Roman" w:hAnsi="Times New Roman" w:cs="Times New Roman"/>
          <w:sz w:val="24"/>
          <w:szCs w:val="24"/>
        </w:rPr>
      </w:pPr>
      <w:r w:rsidRPr="00B269E9">
        <w:rPr>
          <w:rFonts w:ascii="Times New Roman" w:hAnsi="Times New Roman" w:cs="Times New Roman"/>
          <w:sz w:val="24"/>
          <w:szCs w:val="24"/>
        </w:rPr>
        <w:t xml:space="preserve">4) Interdiction des restrictions quantitatives à l'importation </w:t>
      </w:r>
    </w:p>
    <w:p w:rsidR="005743B7" w:rsidRPr="00B269E9" w:rsidRDefault="005743B7" w:rsidP="005743B7">
      <w:pPr>
        <w:spacing w:after="0" w:line="240" w:lineRule="auto"/>
        <w:jc w:val="both"/>
        <w:rPr>
          <w:rFonts w:ascii="Times New Roman" w:hAnsi="Times New Roman" w:cs="Times New Roman"/>
          <w:bCs/>
          <w:sz w:val="24"/>
          <w:szCs w:val="24"/>
        </w:rPr>
      </w:pPr>
      <w:r w:rsidRPr="00B269E9">
        <w:rPr>
          <w:rFonts w:ascii="Times New Roman" w:hAnsi="Times New Roman" w:cs="Times New Roman"/>
          <w:sz w:val="24"/>
          <w:szCs w:val="24"/>
        </w:rPr>
        <w:t xml:space="preserve">5) </w:t>
      </w:r>
      <w:r>
        <w:rPr>
          <w:rFonts w:ascii="Times New Roman" w:hAnsi="Times New Roman" w:cs="Times New Roman"/>
          <w:sz w:val="24"/>
          <w:szCs w:val="24"/>
        </w:rPr>
        <w:t>D</w:t>
      </w:r>
      <w:r w:rsidRPr="00B269E9">
        <w:rPr>
          <w:rFonts w:ascii="Times New Roman" w:hAnsi="Times New Roman" w:cs="Times New Roman"/>
          <w:sz w:val="24"/>
          <w:szCs w:val="24"/>
        </w:rPr>
        <w:t>es mesures de sauvegarde de l'APE sont bien trop faibles</w:t>
      </w:r>
      <w:r>
        <w:rPr>
          <w:rFonts w:ascii="Times New Roman" w:hAnsi="Times New Roman" w:cs="Times New Roman"/>
          <w:sz w:val="24"/>
          <w:szCs w:val="24"/>
        </w:rPr>
        <w:t xml:space="preserve">, </w:t>
      </w:r>
      <w:r w:rsidRPr="00B269E9">
        <w:rPr>
          <w:rFonts w:ascii="Times New Roman" w:hAnsi="Times New Roman" w:cs="Times New Roman"/>
          <w:sz w:val="24"/>
          <w:szCs w:val="24"/>
        </w:rPr>
        <w:t>inférieures à celles d</w:t>
      </w:r>
      <w:r>
        <w:rPr>
          <w:rFonts w:ascii="Times New Roman" w:hAnsi="Times New Roman" w:cs="Times New Roman"/>
          <w:sz w:val="24"/>
          <w:szCs w:val="24"/>
        </w:rPr>
        <w:t>e l'</w:t>
      </w:r>
      <w:r w:rsidRPr="00B269E9">
        <w:rPr>
          <w:rFonts w:ascii="Times New Roman" w:hAnsi="Times New Roman" w:cs="Times New Roman"/>
          <w:sz w:val="24"/>
          <w:szCs w:val="24"/>
        </w:rPr>
        <w:t xml:space="preserve">UE </w:t>
      </w:r>
    </w:p>
    <w:p w:rsidR="005743B7" w:rsidRPr="00B269E9" w:rsidRDefault="005743B7" w:rsidP="005743B7">
      <w:pPr>
        <w:spacing w:after="0" w:line="240" w:lineRule="auto"/>
        <w:jc w:val="both"/>
        <w:textAlignment w:val="baseline"/>
        <w:rPr>
          <w:rFonts w:ascii="Times New Roman" w:hAnsi="Times New Roman" w:cs="Times New Roman"/>
          <w:bCs/>
          <w:sz w:val="24"/>
          <w:szCs w:val="24"/>
        </w:rPr>
      </w:pPr>
      <w:r w:rsidRPr="00B269E9">
        <w:rPr>
          <w:rFonts w:ascii="Times New Roman" w:hAnsi="Times New Roman" w:cs="Times New Roman"/>
          <w:bCs/>
          <w:sz w:val="24"/>
          <w:szCs w:val="24"/>
        </w:rPr>
        <w:t>6) Des DD de l'UE sur ses produits alimentaires très supérieurs à ceux de la CEDEAO</w:t>
      </w:r>
    </w:p>
    <w:p w:rsidR="005743B7" w:rsidRPr="00B269E9" w:rsidRDefault="005743B7" w:rsidP="005743B7">
      <w:pPr>
        <w:spacing w:after="0" w:line="240" w:lineRule="auto"/>
        <w:jc w:val="both"/>
        <w:textAlignment w:val="baseline"/>
        <w:rPr>
          <w:rFonts w:ascii="Times New Roman" w:hAnsi="Times New Roman" w:cs="Times New Roman"/>
          <w:bCs/>
          <w:sz w:val="24"/>
          <w:szCs w:val="24"/>
        </w:rPr>
      </w:pPr>
      <w:r w:rsidRPr="00B269E9">
        <w:rPr>
          <w:rFonts w:ascii="Times New Roman" w:hAnsi="Times New Roman" w:cs="Times New Roman"/>
          <w:bCs/>
          <w:sz w:val="24"/>
          <w:szCs w:val="24"/>
        </w:rPr>
        <w:t xml:space="preserve">7) L'UE s'obstine à nier l'effet de dumping de ses subventions agricoles internes </w:t>
      </w:r>
    </w:p>
    <w:p w:rsidR="005743B7" w:rsidRPr="00B269E9" w:rsidRDefault="005743B7" w:rsidP="005743B7">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Conclusion</w:t>
      </w:r>
    </w:p>
    <w:p w:rsidR="005743B7" w:rsidRDefault="005743B7" w:rsidP="00DF7E02">
      <w:pPr>
        <w:spacing w:after="0" w:line="240" w:lineRule="auto"/>
        <w:jc w:val="both"/>
        <w:rPr>
          <w:rFonts w:ascii="Times New Roman" w:hAnsi="Times New Roman" w:cs="Times New Roman"/>
          <w:bCs/>
          <w:sz w:val="24"/>
          <w:szCs w:val="24"/>
        </w:rPr>
      </w:pPr>
    </w:p>
    <w:p w:rsidR="00625511" w:rsidRDefault="007073C4" w:rsidP="00DF7E0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Les textes de l'APE </w:t>
      </w:r>
      <w:r w:rsidR="005F2731">
        <w:rPr>
          <w:rFonts w:ascii="Times New Roman" w:hAnsi="Times New Roman" w:cs="Times New Roman"/>
          <w:bCs/>
          <w:sz w:val="24"/>
          <w:szCs w:val="24"/>
        </w:rPr>
        <w:t xml:space="preserve">(Accord de partenariat économique) </w:t>
      </w:r>
      <w:r>
        <w:rPr>
          <w:rFonts w:ascii="Times New Roman" w:hAnsi="Times New Roman" w:cs="Times New Roman"/>
          <w:bCs/>
          <w:sz w:val="24"/>
          <w:szCs w:val="24"/>
        </w:rPr>
        <w:t xml:space="preserve">officiellement paraphé par les Chefs d'Etat d'Afrique de l'Ouest </w:t>
      </w:r>
      <w:r w:rsidR="00D6545C">
        <w:rPr>
          <w:rFonts w:ascii="Times New Roman" w:hAnsi="Times New Roman" w:cs="Times New Roman"/>
          <w:bCs/>
          <w:sz w:val="24"/>
          <w:szCs w:val="24"/>
        </w:rPr>
        <w:t>(AO)</w:t>
      </w:r>
      <w:r w:rsidR="005F2731">
        <w:rPr>
          <w:rStyle w:val="Appelnotedebasdep"/>
          <w:rFonts w:ascii="Times New Roman" w:hAnsi="Times New Roman" w:cs="Times New Roman"/>
          <w:bCs/>
          <w:sz w:val="24"/>
          <w:szCs w:val="24"/>
        </w:rPr>
        <w:footnoteReference w:id="1"/>
      </w:r>
      <w:r w:rsidR="00D6545C">
        <w:rPr>
          <w:rFonts w:ascii="Times New Roman" w:hAnsi="Times New Roman" w:cs="Times New Roman"/>
          <w:bCs/>
          <w:sz w:val="24"/>
          <w:szCs w:val="24"/>
        </w:rPr>
        <w:t xml:space="preserve"> </w:t>
      </w:r>
      <w:r>
        <w:rPr>
          <w:rFonts w:ascii="Times New Roman" w:hAnsi="Times New Roman" w:cs="Times New Roman"/>
          <w:bCs/>
          <w:sz w:val="24"/>
          <w:szCs w:val="24"/>
        </w:rPr>
        <w:t xml:space="preserve">le 10 juillet 2014 à Accra ont </w:t>
      </w:r>
      <w:r w:rsidR="00D6545C">
        <w:rPr>
          <w:rFonts w:ascii="Times New Roman" w:hAnsi="Times New Roman" w:cs="Times New Roman"/>
          <w:bCs/>
          <w:sz w:val="24"/>
          <w:szCs w:val="24"/>
        </w:rPr>
        <w:t>été transmis au Conseil et Parlement européen par la Commission européenne le 17 septembre</w:t>
      </w:r>
      <w:r>
        <w:rPr>
          <w:rFonts w:ascii="Times New Roman" w:hAnsi="Times New Roman" w:cs="Times New Roman"/>
          <w:bCs/>
          <w:sz w:val="24"/>
          <w:szCs w:val="24"/>
        </w:rPr>
        <w:t xml:space="preserve">. </w:t>
      </w:r>
      <w:r w:rsidR="004156A3">
        <w:rPr>
          <w:rFonts w:ascii="Times New Roman" w:hAnsi="Times New Roman" w:cs="Times New Roman"/>
          <w:sz w:val="24"/>
          <w:szCs w:val="24"/>
        </w:rPr>
        <w:t xml:space="preserve">Une première observation </w:t>
      </w:r>
      <w:r w:rsidR="00DF7E02">
        <w:rPr>
          <w:rFonts w:ascii="Times New Roman" w:hAnsi="Times New Roman" w:cs="Times New Roman"/>
          <w:sz w:val="24"/>
          <w:szCs w:val="24"/>
        </w:rPr>
        <w:t xml:space="preserve">générale </w:t>
      </w:r>
      <w:r w:rsidR="004156A3">
        <w:rPr>
          <w:rFonts w:ascii="Times New Roman" w:hAnsi="Times New Roman" w:cs="Times New Roman"/>
          <w:sz w:val="24"/>
          <w:szCs w:val="24"/>
        </w:rPr>
        <w:t>est que cet accord dit de "partenariat" a une forte tonalité néo-colonialiste ou à tout le moins paternaliste. L'UE se met au chevet des pays ACP</w:t>
      </w:r>
      <w:r w:rsidR="005D05BD">
        <w:rPr>
          <w:rStyle w:val="Appelnotedebasdep"/>
          <w:rFonts w:ascii="Times New Roman" w:hAnsi="Times New Roman" w:cs="Times New Roman"/>
          <w:sz w:val="24"/>
          <w:szCs w:val="24"/>
        </w:rPr>
        <w:footnoteReference w:id="2"/>
      </w:r>
      <w:r w:rsidR="004156A3">
        <w:rPr>
          <w:rFonts w:ascii="Times New Roman" w:hAnsi="Times New Roman" w:cs="Times New Roman"/>
          <w:sz w:val="24"/>
          <w:szCs w:val="24"/>
        </w:rPr>
        <w:t xml:space="preserve">, ici de ceux d'AO, pour définir dans le détail la voie la meilleure </w:t>
      </w:r>
      <w:r w:rsidR="00DF7E02">
        <w:rPr>
          <w:rFonts w:ascii="Times New Roman" w:hAnsi="Times New Roman" w:cs="Times New Roman"/>
          <w:sz w:val="24"/>
          <w:szCs w:val="24"/>
        </w:rPr>
        <w:t xml:space="preserve">qu'ils doivent suivre </w:t>
      </w:r>
      <w:r w:rsidR="004156A3">
        <w:rPr>
          <w:rFonts w:ascii="Times New Roman" w:hAnsi="Times New Roman" w:cs="Times New Roman"/>
          <w:sz w:val="24"/>
          <w:szCs w:val="24"/>
        </w:rPr>
        <w:t xml:space="preserve">pour </w:t>
      </w:r>
      <w:r w:rsidR="00DF7E02">
        <w:rPr>
          <w:rFonts w:ascii="Times New Roman" w:hAnsi="Times New Roman" w:cs="Times New Roman"/>
          <w:sz w:val="24"/>
          <w:szCs w:val="24"/>
        </w:rPr>
        <w:t>"</w:t>
      </w:r>
      <w:r w:rsidR="00DF7E02" w:rsidRPr="00DF7E02">
        <w:rPr>
          <w:rFonts w:ascii="Times New Roman" w:hAnsi="Times New Roman" w:cs="Times New Roman"/>
          <w:i/>
          <w:sz w:val="24"/>
          <w:szCs w:val="24"/>
        </w:rPr>
        <w:t>réduire et éradiquer la pauvreté à long terme, un développement durable et l'intégration réussie et harmonieuse des pays ACP dans l'économie mondiale</w:t>
      </w:r>
      <w:r w:rsidR="00DF7E02">
        <w:rPr>
          <w:rFonts w:ascii="Times New Roman" w:hAnsi="Times New Roman" w:cs="Times New Roman"/>
          <w:sz w:val="24"/>
          <w:szCs w:val="24"/>
        </w:rPr>
        <w:t xml:space="preserve">". </w:t>
      </w:r>
    </w:p>
    <w:p w:rsidR="00625511" w:rsidRDefault="00625511" w:rsidP="00DF7E02">
      <w:pPr>
        <w:spacing w:after="0" w:line="240" w:lineRule="auto"/>
        <w:jc w:val="both"/>
        <w:rPr>
          <w:rFonts w:ascii="Times New Roman" w:hAnsi="Times New Roman" w:cs="Times New Roman"/>
          <w:sz w:val="24"/>
          <w:szCs w:val="24"/>
        </w:rPr>
      </w:pPr>
    </w:p>
    <w:p w:rsidR="004156A3" w:rsidRDefault="00D608CA" w:rsidP="00DF7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DF7E02">
        <w:rPr>
          <w:rFonts w:ascii="Times New Roman" w:hAnsi="Times New Roman" w:cs="Times New Roman"/>
          <w:sz w:val="24"/>
          <w:szCs w:val="24"/>
        </w:rPr>
        <w:t xml:space="preserve">'Accord est truffé d'instances dites de concertation, qui sont autant de carcans mis à la liberté de choix politique des Etats d'AO pour définir et modifier leur stratégie de développement </w:t>
      </w:r>
      <w:r w:rsidR="00852B0D">
        <w:rPr>
          <w:rFonts w:ascii="Times New Roman" w:hAnsi="Times New Roman" w:cs="Times New Roman"/>
          <w:sz w:val="24"/>
          <w:szCs w:val="24"/>
        </w:rPr>
        <w:t>:</w:t>
      </w:r>
      <w:r w:rsidR="00DF7E02">
        <w:rPr>
          <w:rFonts w:ascii="Times New Roman" w:hAnsi="Times New Roman" w:cs="Times New Roman"/>
          <w:sz w:val="24"/>
          <w:szCs w:val="24"/>
        </w:rPr>
        <w:t xml:space="preserve"> </w:t>
      </w:r>
      <w:r w:rsidR="004156A3">
        <w:rPr>
          <w:rFonts w:ascii="Times New Roman" w:hAnsi="Times New Roman" w:cs="Times New Roman"/>
          <w:sz w:val="24"/>
          <w:szCs w:val="24"/>
        </w:rPr>
        <w:t xml:space="preserve">   </w:t>
      </w:r>
    </w:p>
    <w:p w:rsidR="000615B3" w:rsidRPr="007B3524" w:rsidRDefault="00852B0D" w:rsidP="00852B0D">
      <w:pPr>
        <w:pStyle w:val="Point0"/>
        <w:spacing w:before="0" w:after="0"/>
        <w:ind w:left="0" w:firstLine="0"/>
        <w:rPr>
          <w:noProof/>
          <w:szCs w:val="24"/>
          <w:lang w:val="fr-FR"/>
        </w:rPr>
      </w:pPr>
      <w:r w:rsidRPr="007B3524">
        <w:rPr>
          <w:noProof/>
          <w:szCs w:val="24"/>
          <w:lang w:val="fr-FR"/>
        </w:rPr>
        <w:t>"</w:t>
      </w:r>
      <w:r w:rsidR="0053175D" w:rsidRPr="007B3524">
        <w:rPr>
          <w:noProof/>
          <w:szCs w:val="24"/>
          <w:lang w:val="fr-FR"/>
        </w:rPr>
        <w:t>Le Conseil conjoint de l'APE Afrique de l'Ouest – Union Européenne</w:t>
      </w:r>
      <w:r w:rsidR="00D608CA" w:rsidRPr="007B3524">
        <w:rPr>
          <w:noProof/>
          <w:szCs w:val="24"/>
          <w:lang w:val="fr-FR"/>
        </w:rPr>
        <w:t>;</w:t>
      </w:r>
    </w:p>
    <w:p w:rsidR="0040510C" w:rsidRPr="007B3524" w:rsidRDefault="0053175D" w:rsidP="00852B0D">
      <w:pPr>
        <w:pStyle w:val="Point0"/>
        <w:spacing w:before="0" w:after="0"/>
        <w:ind w:left="0" w:firstLine="0"/>
        <w:rPr>
          <w:noProof/>
          <w:szCs w:val="24"/>
          <w:lang w:val="fr-FR"/>
        </w:rPr>
      </w:pPr>
      <w:r w:rsidRPr="007B3524">
        <w:rPr>
          <w:noProof/>
          <w:lang w:val="fr-FR"/>
        </w:rPr>
        <w:t xml:space="preserve">Le Comité ministériel de contrôle </w:t>
      </w:r>
      <w:r w:rsidRPr="007B3524">
        <w:rPr>
          <w:noProof/>
          <w:szCs w:val="24"/>
          <w:lang w:val="fr-FR"/>
        </w:rPr>
        <w:t>de l'APE Afrique de l'Ouest – Union Européenne</w:t>
      </w:r>
      <w:r w:rsidR="00D608CA" w:rsidRPr="007B3524">
        <w:rPr>
          <w:noProof/>
          <w:lang w:val="fr-FR"/>
        </w:rPr>
        <w:t>;</w:t>
      </w:r>
      <w:r w:rsidR="0040510C" w:rsidRPr="007B3524">
        <w:rPr>
          <w:noProof/>
          <w:szCs w:val="24"/>
          <w:lang w:val="fr-FR"/>
        </w:rPr>
        <w:t xml:space="preserve"> </w:t>
      </w:r>
    </w:p>
    <w:p w:rsidR="00852B0D" w:rsidRPr="007B3524" w:rsidRDefault="0053175D" w:rsidP="00852B0D">
      <w:pPr>
        <w:pStyle w:val="Point0"/>
        <w:spacing w:before="0" w:after="0"/>
        <w:ind w:left="0" w:firstLine="0"/>
        <w:rPr>
          <w:noProof/>
          <w:lang w:val="fr-FR"/>
        </w:rPr>
      </w:pPr>
      <w:r w:rsidRPr="007B3524">
        <w:rPr>
          <w:noProof/>
          <w:lang w:val="fr-FR"/>
        </w:rPr>
        <w:t xml:space="preserve">Le Comité ministériel de mise en oeuvre </w:t>
      </w:r>
      <w:r w:rsidRPr="007B3524">
        <w:rPr>
          <w:noProof/>
          <w:szCs w:val="24"/>
          <w:lang w:val="fr-FR"/>
        </w:rPr>
        <w:t>de l'APE Afrique de l'Ouest – Union Européenne</w:t>
      </w:r>
      <w:r w:rsidR="00852B0D" w:rsidRPr="007B3524">
        <w:rPr>
          <w:noProof/>
          <w:szCs w:val="24"/>
          <w:lang w:val="fr-FR"/>
        </w:rPr>
        <w:t xml:space="preserve">, </w:t>
      </w:r>
      <w:r w:rsidRPr="007B3524">
        <w:rPr>
          <w:noProof/>
          <w:szCs w:val="24"/>
          <w:lang w:val="fr-FR"/>
        </w:rPr>
        <w:t xml:space="preserve">qui peut créer et </w:t>
      </w:r>
      <w:r w:rsidR="00852B0D" w:rsidRPr="007B3524">
        <w:rPr>
          <w:noProof/>
          <w:lang w:val="fr-FR"/>
        </w:rPr>
        <w:t>supervise</w:t>
      </w:r>
      <w:r w:rsidRPr="007B3524">
        <w:rPr>
          <w:noProof/>
          <w:lang w:val="fr-FR"/>
        </w:rPr>
        <w:t>r des comités ou organes spécifiques pour traiter des sujets relevant de sa  compé</w:t>
      </w:r>
      <w:r w:rsidR="00852B0D" w:rsidRPr="007B3524">
        <w:rPr>
          <w:noProof/>
          <w:lang w:val="fr-FR"/>
        </w:rPr>
        <w:t xml:space="preserve">tence, </w:t>
      </w:r>
      <w:r w:rsidRPr="007B3524">
        <w:rPr>
          <w:noProof/>
          <w:lang w:val="fr-FR"/>
        </w:rPr>
        <w:t xml:space="preserve">et </w:t>
      </w:r>
      <w:r w:rsidR="00852B0D" w:rsidRPr="007B3524">
        <w:rPr>
          <w:noProof/>
          <w:lang w:val="fr-FR"/>
        </w:rPr>
        <w:t>d</w:t>
      </w:r>
      <w:r w:rsidRPr="007B3524">
        <w:rPr>
          <w:noProof/>
          <w:lang w:val="fr-FR"/>
        </w:rPr>
        <w:t>é</w:t>
      </w:r>
      <w:r w:rsidR="00852B0D" w:rsidRPr="007B3524">
        <w:rPr>
          <w:noProof/>
          <w:lang w:val="fr-FR"/>
        </w:rPr>
        <w:t>termine</w:t>
      </w:r>
      <w:r w:rsidRPr="007B3524">
        <w:rPr>
          <w:noProof/>
          <w:lang w:val="fr-FR"/>
        </w:rPr>
        <w:t>r leurs</w:t>
      </w:r>
      <w:r w:rsidR="00852B0D" w:rsidRPr="007B3524">
        <w:rPr>
          <w:noProof/>
          <w:lang w:val="fr-FR"/>
        </w:rPr>
        <w:t xml:space="preserve"> composition </w:t>
      </w:r>
      <w:r w:rsidR="00B2079E" w:rsidRPr="007B3524">
        <w:rPr>
          <w:noProof/>
          <w:lang w:val="fr-FR"/>
        </w:rPr>
        <w:t>et tâches</w:t>
      </w:r>
      <w:r w:rsidR="00852B0D" w:rsidRPr="007B3524">
        <w:rPr>
          <w:noProof/>
          <w:lang w:val="fr-FR"/>
        </w:rPr>
        <w:t xml:space="preserve">, </w:t>
      </w:r>
      <w:r w:rsidR="00B2079E" w:rsidRPr="007B3524">
        <w:rPr>
          <w:noProof/>
          <w:lang w:val="fr-FR"/>
        </w:rPr>
        <w:t>et leurs règles de procé</w:t>
      </w:r>
      <w:r w:rsidR="00852B0D" w:rsidRPr="007B3524">
        <w:rPr>
          <w:noProof/>
          <w:lang w:val="fr-FR"/>
        </w:rPr>
        <w:t>dure;</w:t>
      </w:r>
      <w:r w:rsidR="00852B0D" w:rsidRPr="007B3524">
        <w:rPr>
          <w:noProof/>
          <w:lang w:val="fr-FR"/>
        </w:rPr>
        <w:tab/>
      </w:r>
    </w:p>
    <w:p w:rsidR="000615B3" w:rsidRPr="007B3524" w:rsidRDefault="00B2079E" w:rsidP="00852B0D">
      <w:pPr>
        <w:pStyle w:val="Point0"/>
        <w:spacing w:before="0" w:after="0"/>
        <w:ind w:left="0" w:firstLine="0"/>
        <w:rPr>
          <w:noProof/>
          <w:szCs w:val="24"/>
          <w:lang w:val="fr-FR"/>
        </w:rPr>
      </w:pPr>
      <w:r w:rsidRPr="007B3524">
        <w:rPr>
          <w:noProof/>
          <w:szCs w:val="24"/>
          <w:lang w:val="fr-FR"/>
        </w:rPr>
        <w:t xml:space="preserve">Le Comité parlementaire consultatif conjoint de l'APE Afrique de l'Ouest – Union Européenne; </w:t>
      </w:r>
    </w:p>
    <w:p w:rsidR="000615B3" w:rsidRPr="007B3524" w:rsidRDefault="00B2079E" w:rsidP="00852B0D">
      <w:pPr>
        <w:pStyle w:val="Point0"/>
        <w:spacing w:before="0" w:after="0"/>
        <w:ind w:left="0" w:firstLine="0"/>
        <w:rPr>
          <w:noProof/>
          <w:szCs w:val="24"/>
          <w:lang w:val="fr-FR"/>
        </w:rPr>
      </w:pPr>
      <w:r w:rsidRPr="007B3524">
        <w:rPr>
          <w:noProof/>
          <w:szCs w:val="24"/>
          <w:lang w:val="fr-FR"/>
        </w:rPr>
        <w:t>Le Comité consultatif conjoint de l'APE Afrique de l'Ouest – Union Européenne</w:t>
      </w:r>
      <w:r w:rsidR="000615B3" w:rsidRPr="007B3524">
        <w:rPr>
          <w:noProof/>
          <w:szCs w:val="24"/>
          <w:lang w:val="fr-FR"/>
        </w:rPr>
        <w:t>;</w:t>
      </w:r>
    </w:p>
    <w:p w:rsidR="004156A3" w:rsidRPr="0040510C" w:rsidRDefault="00B2079E" w:rsidP="00852B0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w:t>
      </w:r>
      <w:r w:rsidR="000615B3" w:rsidRPr="0040510C">
        <w:rPr>
          <w:rFonts w:ascii="Times New Roman" w:hAnsi="Times New Roman" w:cs="Times New Roman"/>
          <w:noProof/>
          <w:sz w:val="24"/>
          <w:szCs w:val="24"/>
        </w:rPr>
        <w:t>Com</w:t>
      </w:r>
      <w:r>
        <w:rPr>
          <w:rFonts w:ascii="Times New Roman" w:hAnsi="Times New Roman" w:cs="Times New Roman"/>
          <w:noProof/>
          <w:sz w:val="24"/>
          <w:szCs w:val="24"/>
        </w:rPr>
        <w:t>ité spécial sur la facilitation des droits de douae et des échanges</w:t>
      </w:r>
      <w:r w:rsidR="00D608CA">
        <w:rPr>
          <w:rFonts w:ascii="Times New Roman" w:hAnsi="Times New Roman" w:cs="Times New Roman"/>
          <w:noProof/>
          <w:sz w:val="24"/>
          <w:szCs w:val="24"/>
        </w:rPr>
        <w:t>;</w:t>
      </w:r>
    </w:p>
    <w:p w:rsidR="000615B3" w:rsidRPr="0040510C" w:rsidRDefault="00B2079E" w:rsidP="00D60A4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L'Observatoire sur la compétitivité</w:t>
      </w:r>
      <w:r w:rsidR="00852B0D">
        <w:rPr>
          <w:rFonts w:ascii="Times New Roman" w:hAnsi="Times New Roman" w:cs="Times New Roman"/>
          <w:noProof/>
          <w:sz w:val="24"/>
          <w:szCs w:val="24"/>
        </w:rPr>
        <w:t>"</w:t>
      </w:r>
    </w:p>
    <w:p w:rsidR="00852B0D" w:rsidRDefault="00852B0D" w:rsidP="00D60A4E">
      <w:pPr>
        <w:spacing w:after="0" w:line="240" w:lineRule="auto"/>
        <w:jc w:val="both"/>
        <w:rPr>
          <w:rFonts w:ascii="Times New Roman" w:hAnsi="Times New Roman" w:cs="Times New Roman"/>
          <w:sz w:val="24"/>
          <w:szCs w:val="24"/>
        </w:rPr>
      </w:pPr>
    </w:p>
    <w:p w:rsidR="00D60A4E" w:rsidRDefault="00D60A4E" w:rsidP="00D60A4E">
      <w:pPr>
        <w:spacing w:after="0" w:line="240" w:lineRule="auto"/>
        <w:jc w:val="both"/>
        <w:rPr>
          <w:rFonts w:ascii="Times New Roman" w:hAnsi="Times New Roman" w:cs="Times New Roman"/>
          <w:sz w:val="24"/>
          <w:szCs w:val="24"/>
        </w:rPr>
      </w:pPr>
      <w:r w:rsidRPr="00D60A4E">
        <w:rPr>
          <w:rFonts w:ascii="Times New Roman" w:hAnsi="Times New Roman" w:cs="Times New Roman"/>
          <w:sz w:val="24"/>
          <w:szCs w:val="24"/>
        </w:rPr>
        <w:t>On se limite ic</w:t>
      </w:r>
      <w:r>
        <w:rPr>
          <w:rFonts w:ascii="Times New Roman" w:hAnsi="Times New Roman" w:cs="Times New Roman"/>
          <w:sz w:val="24"/>
          <w:szCs w:val="24"/>
        </w:rPr>
        <w:t>i</w:t>
      </w:r>
      <w:r w:rsidRPr="00D60A4E">
        <w:rPr>
          <w:rFonts w:ascii="Times New Roman" w:hAnsi="Times New Roman" w:cs="Times New Roman"/>
          <w:sz w:val="24"/>
          <w:szCs w:val="24"/>
        </w:rPr>
        <w:t xml:space="preserve"> à </w:t>
      </w:r>
      <w:r w:rsidR="00D6545C">
        <w:rPr>
          <w:rFonts w:ascii="Times New Roman" w:hAnsi="Times New Roman" w:cs="Times New Roman"/>
          <w:sz w:val="24"/>
          <w:szCs w:val="24"/>
        </w:rPr>
        <w:t xml:space="preserve">commenter les aspects liés à </w:t>
      </w:r>
      <w:r w:rsidR="007073C4">
        <w:rPr>
          <w:rFonts w:ascii="Times New Roman" w:hAnsi="Times New Roman" w:cs="Times New Roman"/>
          <w:sz w:val="24"/>
          <w:szCs w:val="24"/>
        </w:rPr>
        <w:t xml:space="preserve">la protection tarifaire et </w:t>
      </w:r>
      <w:r w:rsidR="00D6545C">
        <w:rPr>
          <w:rFonts w:ascii="Times New Roman" w:hAnsi="Times New Roman" w:cs="Times New Roman"/>
          <w:sz w:val="24"/>
          <w:szCs w:val="24"/>
        </w:rPr>
        <w:t>aux</w:t>
      </w:r>
      <w:r w:rsidR="00191F71">
        <w:rPr>
          <w:rFonts w:ascii="Times New Roman" w:hAnsi="Times New Roman" w:cs="Times New Roman"/>
          <w:sz w:val="24"/>
          <w:szCs w:val="24"/>
        </w:rPr>
        <w:t xml:space="preserve"> </w:t>
      </w:r>
      <w:r w:rsidR="007073C4">
        <w:rPr>
          <w:rFonts w:ascii="Times New Roman" w:hAnsi="Times New Roman" w:cs="Times New Roman"/>
          <w:sz w:val="24"/>
          <w:szCs w:val="24"/>
        </w:rPr>
        <w:t xml:space="preserve">mesures de sauvegarde, </w:t>
      </w:r>
      <w:r w:rsidR="006C48B5">
        <w:rPr>
          <w:rFonts w:ascii="Times New Roman" w:hAnsi="Times New Roman" w:cs="Times New Roman"/>
          <w:sz w:val="24"/>
          <w:szCs w:val="24"/>
        </w:rPr>
        <w:t>sans traiter l'ensemble de</w:t>
      </w:r>
      <w:r w:rsidR="00D6545C">
        <w:rPr>
          <w:rFonts w:ascii="Times New Roman" w:hAnsi="Times New Roman" w:cs="Times New Roman"/>
          <w:sz w:val="24"/>
          <w:szCs w:val="24"/>
        </w:rPr>
        <w:t xml:space="preserve">s dispositions </w:t>
      </w:r>
      <w:r w:rsidR="005F2731">
        <w:rPr>
          <w:rFonts w:ascii="Times New Roman" w:hAnsi="Times New Roman" w:cs="Times New Roman"/>
          <w:sz w:val="24"/>
          <w:szCs w:val="24"/>
        </w:rPr>
        <w:t xml:space="preserve">importantes </w:t>
      </w:r>
      <w:r w:rsidR="00D6545C">
        <w:rPr>
          <w:rFonts w:ascii="Times New Roman" w:hAnsi="Times New Roman" w:cs="Times New Roman"/>
          <w:sz w:val="24"/>
          <w:szCs w:val="24"/>
        </w:rPr>
        <w:t>de l'Accord</w:t>
      </w:r>
      <w:r>
        <w:rPr>
          <w:rFonts w:ascii="Times New Roman" w:hAnsi="Times New Roman" w:cs="Times New Roman"/>
          <w:sz w:val="24"/>
          <w:szCs w:val="24"/>
        </w:rPr>
        <w:t>.</w:t>
      </w:r>
    </w:p>
    <w:p w:rsidR="00D60A4E" w:rsidRDefault="00D60A4E" w:rsidP="00D60A4E">
      <w:pPr>
        <w:spacing w:after="0" w:line="240" w:lineRule="auto"/>
        <w:jc w:val="both"/>
        <w:rPr>
          <w:rFonts w:ascii="Times New Roman" w:hAnsi="Times New Roman" w:cs="Times New Roman"/>
          <w:sz w:val="24"/>
          <w:szCs w:val="24"/>
        </w:rPr>
      </w:pPr>
    </w:p>
    <w:p w:rsidR="00D60A4E" w:rsidRPr="007B3524" w:rsidRDefault="00F639C0" w:rsidP="00D60A4E">
      <w:pPr>
        <w:pStyle w:val="Titrearticle"/>
        <w:spacing w:before="0" w:after="0"/>
        <w:jc w:val="both"/>
        <w:rPr>
          <w:noProof/>
          <w:lang w:val="fr-FR"/>
        </w:rPr>
      </w:pPr>
      <w:r w:rsidRPr="007B3524">
        <w:rPr>
          <w:b/>
          <w:i w:val="0"/>
          <w:noProof/>
          <w:u w:val="single"/>
          <w:lang w:val="fr-FR"/>
        </w:rPr>
        <w:lastRenderedPageBreak/>
        <w:t xml:space="preserve">1) </w:t>
      </w:r>
      <w:r w:rsidR="007073C4" w:rsidRPr="007B3524">
        <w:rPr>
          <w:b/>
          <w:i w:val="0"/>
          <w:noProof/>
          <w:u w:val="single"/>
          <w:lang w:val="fr-FR"/>
        </w:rPr>
        <w:t>Interdiction d'augmenter les droits de douane</w:t>
      </w:r>
      <w:r w:rsidR="007073C4" w:rsidRPr="007B3524">
        <w:rPr>
          <w:i w:val="0"/>
          <w:noProof/>
          <w:lang w:val="fr-FR"/>
        </w:rPr>
        <w:t xml:space="preserve"> : </w:t>
      </w:r>
      <w:r w:rsidR="00820538" w:rsidRPr="007B3524">
        <w:rPr>
          <w:rStyle w:val="hps"/>
          <w:i w:val="0"/>
          <w:u w:val="single"/>
          <w:lang w:val="fr-FR"/>
        </w:rPr>
        <w:t>Article 9 Statu</w:t>
      </w:r>
      <w:r w:rsidR="00820538" w:rsidRPr="007B3524">
        <w:rPr>
          <w:i w:val="0"/>
          <w:u w:val="single"/>
          <w:lang w:val="fr-FR"/>
        </w:rPr>
        <w:t xml:space="preserve"> </w:t>
      </w:r>
      <w:r w:rsidR="00820538" w:rsidRPr="007B3524">
        <w:rPr>
          <w:rStyle w:val="hps"/>
          <w:i w:val="0"/>
          <w:u w:val="single"/>
          <w:lang w:val="fr-FR"/>
        </w:rPr>
        <w:t>quo</w:t>
      </w:r>
      <w:r w:rsidR="00820538" w:rsidRPr="007B3524">
        <w:rPr>
          <w:lang w:val="fr-FR"/>
        </w:rPr>
        <w:t xml:space="preserve"> </w:t>
      </w:r>
      <w:r w:rsidR="00820538" w:rsidRPr="007B3524">
        <w:rPr>
          <w:rStyle w:val="hps"/>
          <w:lang w:val="fr-FR"/>
        </w:rPr>
        <w:t>1. Aucun nouveau droit de douane</w:t>
      </w:r>
      <w:r w:rsidR="00820538" w:rsidRPr="007B3524">
        <w:rPr>
          <w:lang w:val="fr-FR"/>
        </w:rPr>
        <w:t xml:space="preserve"> </w:t>
      </w:r>
      <w:r w:rsidR="00820538" w:rsidRPr="007B3524">
        <w:rPr>
          <w:rStyle w:val="hps"/>
          <w:lang w:val="fr-FR"/>
        </w:rPr>
        <w:t>à l'importation ne sera introduit</w:t>
      </w:r>
      <w:r w:rsidR="00820538" w:rsidRPr="007B3524">
        <w:rPr>
          <w:lang w:val="fr-FR"/>
        </w:rPr>
        <w:t xml:space="preserve"> </w:t>
      </w:r>
      <w:r w:rsidR="00820538" w:rsidRPr="007B3524">
        <w:rPr>
          <w:rStyle w:val="hps"/>
          <w:lang w:val="fr-FR"/>
        </w:rPr>
        <w:t>sur les produits</w:t>
      </w:r>
      <w:r w:rsidR="00820538" w:rsidRPr="007B3524">
        <w:rPr>
          <w:lang w:val="fr-FR"/>
        </w:rPr>
        <w:t xml:space="preserve"> </w:t>
      </w:r>
      <w:r w:rsidR="00820538" w:rsidRPr="007B3524">
        <w:rPr>
          <w:rStyle w:val="hps"/>
          <w:lang w:val="fr-FR"/>
        </w:rPr>
        <w:t>couverts par</w:t>
      </w:r>
      <w:r w:rsidR="00820538" w:rsidRPr="007B3524">
        <w:rPr>
          <w:lang w:val="fr-FR"/>
        </w:rPr>
        <w:t xml:space="preserve"> </w:t>
      </w:r>
      <w:r w:rsidR="00820538" w:rsidRPr="007B3524">
        <w:rPr>
          <w:rStyle w:val="hps"/>
          <w:lang w:val="fr-FR"/>
        </w:rPr>
        <w:t>la libéralisation</w:t>
      </w:r>
      <w:r w:rsidR="00820538" w:rsidRPr="007B3524">
        <w:rPr>
          <w:lang w:val="fr-FR"/>
        </w:rPr>
        <w:t xml:space="preserve"> </w:t>
      </w:r>
      <w:r w:rsidR="00820538" w:rsidRPr="007B3524">
        <w:rPr>
          <w:rStyle w:val="hps"/>
          <w:lang w:val="fr-FR"/>
        </w:rPr>
        <w:t>entre les parties</w:t>
      </w:r>
      <w:r w:rsidR="00820538" w:rsidRPr="007B3524">
        <w:rPr>
          <w:lang w:val="fr-FR"/>
        </w:rPr>
        <w:t>, et</w:t>
      </w:r>
      <w:r w:rsidR="00820538" w:rsidRPr="007B3524">
        <w:rPr>
          <w:rStyle w:val="hps"/>
          <w:lang w:val="fr-FR"/>
        </w:rPr>
        <w:t xml:space="preserve"> ceux</w:t>
      </w:r>
      <w:r w:rsidR="00820538" w:rsidRPr="007B3524">
        <w:rPr>
          <w:lang w:val="fr-FR"/>
        </w:rPr>
        <w:t xml:space="preserve"> </w:t>
      </w:r>
      <w:r w:rsidR="00820538" w:rsidRPr="007B3524">
        <w:rPr>
          <w:rStyle w:val="hps"/>
          <w:lang w:val="fr-FR"/>
        </w:rPr>
        <w:t>actuellement appliqués</w:t>
      </w:r>
      <w:r w:rsidR="00820538" w:rsidRPr="007B3524">
        <w:rPr>
          <w:lang w:val="fr-FR"/>
        </w:rPr>
        <w:t xml:space="preserve"> ne seront pas </w:t>
      </w:r>
      <w:r w:rsidR="00820538" w:rsidRPr="007B3524">
        <w:rPr>
          <w:rStyle w:val="hps"/>
          <w:lang w:val="fr-FR"/>
        </w:rPr>
        <w:t>augmentés</w:t>
      </w:r>
      <w:r w:rsidR="00820538" w:rsidRPr="007B3524">
        <w:rPr>
          <w:lang w:val="fr-FR"/>
        </w:rPr>
        <w:t xml:space="preserve"> </w:t>
      </w:r>
      <w:r w:rsidR="00820538" w:rsidRPr="007B3524">
        <w:rPr>
          <w:rStyle w:val="hps"/>
          <w:lang w:val="fr-FR"/>
        </w:rPr>
        <w:t>à partir de la</w:t>
      </w:r>
      <w:r w:rsidR="00820538" w:rsidRPr="007B3524">
        <w:rPr>
          <w:lang w:val="fr-FR"/>
        </w:rPr>
        <w:t xml:space="preserve"> </w:t>
      </w:r>
      <w:r w:rsidR="00820538" w:rsidRPr="007B3524">
        <w:rPr>
          <w:rStyle w:val="hps"/>
          <w:lang w:val="fr-FR"/>
        </w:rPr>
        <w:t>date d'entrée en</w:t>
      </w:r>
      <w:r w:rsidR="00820538" w:rsidRPr="007B3524">
        <w:rPr>
          <w:lang w:val="fr-FR"/>
        </w:rPr>
        <w:t xml:space="preserve"> </w:t>
      </w:r>
      <w:r w:rsidR="00820538" w:rsidRPr="007B3524">
        <w:rPr>
          <w:rStyle w:val="hps"/>
          <w:lang w:val="fr-FR"/>
        </w:rPr>
        <w:t>vigueur du présent accord</w:t>
      </w:r>
      <w:r w:rsidR="00D60A4E" w:rsidRPr="007B3524">
        <w:rPr>
          <w:noProof/>
          <w:lang w:val="fr-FR"/>
        </w:rPr>
        <w:t>".</w:t>
      </w:r>
    </w:p>
    <w:p w:rsidR="00D60A4E" w:rsidRPr="007B3524" w:rsidRDefault="00D60A4E" w:rsidP="00D60A4E">
      <w:pPr>
        <w:spacing w:after="0" w:line="240" w:lineRule="auto"/>
        <w:jc w:val="both"/>
        <w:rPr>
          <w:rFonts w:ascii="Times New Roman" w:hAnsi="Times New Roman" w:cs="Times New Roman"/>
          <w:sz w:val="24"/>
          <w:szCs w:val="24"/>
          <w:lang w:eastAsia="en-GB"/>
        </w:rPr>
      </w:pPr>
    </w:p>
    <w:p w:rsidR="00365A65" w:rsidRPr="007B3524" w:rsidRDefault="00D60A4E" w:rsidP="00D60A4E">
      <w:pPr>
        <w:spacing w:after="0" w:line="240" w:lineRule="auto"/>
        <w:jc w:val="both"/>
        <w:rPr>
          <w:rFonts w:ascii="Times New Roman" w:hAnsi="Times New Roman" w:cs="Times New Roman"/>
          <w:sz w:val="24"/>
          <w:szCs w:val="24"/>
          <w:lang w:eastAsia="en-GB"/>
        </w:rPr>
      </w:pPr>
      <w:r w:rsidRPr="007B3524">
        <w:rPr>
          <w:rFonts w:ascii="Times New Roman" w:hAnsi="Times New Roman" w:cs="Times New Roman"/>
          <w:sz w:val="24"/>
          <w:szCs w:val="24"/>
          <w:lang w:eastAsia="en-GB"/>
        </w:rPr>
        <w:t>Cette disposition – qui vise cl</w:t>
      </w:r>
      <w:r w:rsidR="00697568" w:rsidRPr="007B3524">
        <w:rPr>
          <w:rFonts w:ascii="Times New Roman" w:hAnsi="Times New Roman" w:cs="Times New Roman"/>
          <w:sz w:val="24"/>
          <w:szCs w:val="24"/>
          <w:lang w:eastAsia="en-GB"/>
        </w:rPr>
        <w:t>a</w:t>
      </w:r>
      <w:r w:rsidRPr="007B3524">
        <w:rPr>
          <w:rFonts w:ascii="Times New Roman" w:hAnsi="Times New Roman" w:cs="Times New Roman"/>
          <w:sz w:val="24"/>
          <w:szCs w:val="24"/>
          <w:lang w:eastAsia="en-GB"/>
        </w:rPr>
        <w:t>ir</w:t>
      </w:r>
      <w:r w:rsidR="00697568" w:rsidRPr="007B3524">
        <w:rPr>
          <w:rFonts w:ascii="Times New Roman" w:hAnsi="Times New Roman" w:cs="Times New Roman"/>
          <w:sz w:val="24"/>
          <w:szCs w:val="24"/>
          <w:lang w:eastAsia="en-GB"/>
        </w:rPr>
        <w:t>e</w:t>
      </w:r>
      <w:r w:rsidRPr="007B3524">
        <w:rPr>
          <w:rFonts w:ascii="Times New Roman" w:hAnsi="Times New Roman" w:cs="Times New Roman"/>
          <w:sz w:val="24"/>
          <w:szCs w:val="24"/>
          <w:lang w:eastAsia="en-GB"/>
        </w:rPr>
        <w:t xml:space="preserve">ment les droits de douane </w:t>
      </w:r>
      <w:r w:rsidR="00697568" w:rsidRPr="007B3524">
        <w:rPr>
          <w:rFonts w:ascii="Times New Roman" w:hAnsi="Times New Roman" w:cs="Times New Roman"/>
          <w:sz w:val="24"/>
          <w:szCs w:val="24"/>
          <w:lang w:eastAsia="en-GB"/>
        </w:rPr>
        <w:t xml:space="preserve">(DD) </w:t>
      </w:r>
      <w:r w:rsidRPr="007B3524">
        <w:rPr>
          <w:rFonts w:ascii="Times New Roman" w:hAnsi="Times New Roman" w:cs="Times New Roman"/>
          <w:sz w:val="24"/>
          <w:szCs w:val="24"/>
          <w:lang w:eastAsia="en-GB"/>
        </w:rPr>
        <w:t>que l'AO pourra pré</w:t>
      </w:r>
      <w:r w:rsidR="00697568" w:rsidRPr="007B3524">
        <w:rPr>
          <w:rFonts w:ascii="Times New Roman" w:hAnsi="Times New Roman" w:cs="Times New Roman"/>
          <w:sz w:val="24"/>
          <w:szCs w:val="24"/>
          <w:lang w:eastAsia="en-GB"/>
        </w:rPr>
        <w:t>le</w:t>
      </w:r>
      <w:r w:rsidRPr="007B3524">
        <w:rPr>
          <w:rFonts w:ascii="Times New Roman" w:hAnsi="Times New Roman" w:cs="Times New Roman"/>
          <w:sz w:val="24"/>
          <w:szCs w:val="24"/>
          <w:lang w:eastAsia="en-GB"/>
        </w:rPr>
        <w:t xml:space="preserve">ver sur </w:t>
      </w:r>
      <w:r w:rsidR="00697568" w:rsidRPr="007B3524">
        <w:rPr>
          <w:rFonts w:ascii="Times New Roman" w:hAnsi="Times New Roman" w:cs="Times New Roman"/>
          <w:sz w:val="24"/>
          <w:szCs w:val="24"/>
          <w:lang w:eastAsia="en-GB"/>
        </w:rPr>
        <w:t>25% de ses lignes tarifaires non libéralisées –</w:t>
      </w:r>
      <w:r w:rsidRPr="007B3524">
        <w:rPr>
          <w:rFonts w:ascii="Times New Roman" w:hAnsi="Times New Roman" w:cs="Times New Roman"/>
          <w:sz w:val="24"/>
          <w:szCs w:val="24"/>
          <w:lang w:eastAsia="en-GB"/>
        </w:rPr>
        <w:t xml:space="preserve"> est </w:t>
      </w:r>
      <w:r w:rsidR="00697568" w:rsidRPr="007B3524">
        <w:rPr>
          <w:rFonts w:ascii="Times New Roman" w:hAnsi="Times New Roman" w:cs="Times New Roman"/>
          <w:sz w:val="24"/>
          <w:szCs w:val="24"/>
          <w:lang w:eastAsia="en-GB"/>
        </w:rPr>
        <w:t>intolérable</w:t>
      </w:r>
      <w:r w:rsidR="00365A65" w:rsidRPr="007B3524">
        <w:rPr>
          <w:rFonts w:ascii="Times New Roman" w:hAnsi="Times New Roman" w:cs="Times New Roman"/>
          <w:sz w:val="24"/>
          <w:szCs w:val="24"/>
          <w:lang w:eastAsia="en-GB"/>
        </w:rPr>
        <w:t xml:space="preserve"> pour deux raisons :</w:t>
      </w:r>
    </w:p>
    <w:p w:rsidR="00852B0D" w:rsidRPr="007B3524" w:rsidRDefault="00852B0D" w:rsidP="00D60A4E">
      <w:pPr>
        <w:spacing w:after="0" w:line="240" w:lineRule="auto"/>
        <w:jc w:val="both"/>
        <w:rPr>
          <w:rFonts w:ascii="Times New Roman" w:hAnsi="Times New Roman" w:cs="Times New Roman"/>
          <w:sz w:val="24"/>
          <w:szCs w:val="24"/>
          <w:lang w:eastAsia="en-GB"/>
        </w:rPr>
      </w:pPr>
    </w:p>
    <w:p w:rsidR="00365A65" w:rsidRPr="007B3524" w:rsidRDefault="00852B0D" w:rsidP="00D60A4E">
      <w:pPr>
        <w:spacing w:after="0" w:line="240" w:lineRule="auto"/>
        <w:jc w:val="both"/>
        <w:rPr>
          <w:rFonts w:ascii="Times New Roman" w:hAnsi="Times New Roman" w:cs="Times New Roman"/>
          <w:sz w:val="24"/>
          <w:szCs w:val="24"/>
          <w:lang w:eastAsia="en-GB"/>
        </w:rPr>
      </w:pPr>
      <w:r w:rsidRPr="007B3524">
        <w:rPr>
          <w:rFonts w:ascii="Times New Roman" w:hAnsi="Times New Roman" w:cs="Times New Roman"/>
          <w:sz w:val="24"/>
          <w:szCs w:val="24"/>
          <w:lang w:eastAsia="en-GB"/>
        </w:rPr>
        <w:t>a)</w:t>
      </w:r>
      <w:r w:rsidR="00365A65" w:rsidRPr="007B3524">
        <w:rPr>
          <w:rFonts w:ascii="Times New Roman" w:hAnsi="Times New Roman" w:cs="Times New Roman"/>
          <w:sz w:val="24"/>
          <w:szCs w:val="24"/>
          <w:lang w:eastAsia="en-GB"/>
        </w:rPr>
        <w:t xml:space="preserve"> </w:t>
      </w:r>
      <w:r w:rsidRPr="007B3524">
        <w:rPr>
          <w:rFonts w:ascii="Times New Roman" w:hAnsi="Times New Roman" w:cs="Times New Roman"/>
          <w:sz w:val="24"/>
          <w:szCs w:val="24"/>
          <w:lang w:eastAsia="en-GB"/>
        </w:rPr>
        <w:t>L</w:t>
      </w:r>
      <w:r w:rsidR="00697568" w:rsidRPr="007B3524">
        <w:rPr>
          <w:rFonts w:ascii="Times New Roman" w:hAnsi="Times New Roman" w:cs="Times New Roman"/>
          <w:sz w:val="24"/>
          <w:szCs w:val="24"/>
          <w:lang w:eastAsia="en-GB"/>
        </w:rPr>
        <w:t xml:space="preserve">a forte croissance de sa population </w:t>
      </w:r>
      <w:r w:rsidR="00365A65" w:rsidRPr="007B3524">
        <w:rPr>
          <w:rFonts w:ascii="Times New Roman" w:hAnsi="Times New Roman" w:cs="Times New Roman"/>
          <w:sz w:val="24"/>
          <w:szCs w:val="24"/>
          <w:lang w:eastAsia="en-GB"/>
        </w:rPr>
        <w:t xml:space="preserve">– </w:t>
      </w:r>
      <w:r w:rsidR="00697568" w:rsidRPr="007B3524">
        <w:rPr>
          <w:rFonts w:ascii="Times New Roman" w:hAnsi="Times New Roman" w:cs="Times New Roman"/>
          <w:sz w:val="24"/>
          <w:szCs w:val="24"/>
          <w:lang w:eastAsia="en-GB"/>
        </w:rPr>
        <w:t>qui passera</w:t>
      </w:r>
      <w:r w:rsidR="00365A65" w:rsidRPr="007B3524">
        <w:rPr>
          <w:rFonts w:ascii="Times New Roman" w:hAnsi="Times New Roman" w:cs="Times New Roman"/>
          <w:sz w:val="24"/>
          <w:szCs w:val="24"/>
          <w:lang w:eastAsia="en-GB"/>
        </w:rPr>
        <w:t>it</w:t>
      </w:r>
      <w:r w:rsidR="00697568" w:rsidRPr="007B3524">
        <w:rPr>
          <w:rFonts w:ascii="Times New Roman" w:hAnsi="Times New Roman" w:cs="Times New Roman"/>
          <w:sz w:val="24"/>
          <w:szCs w:val="24"/>
          <w:lang w:eastAsia="en-GB"/>
        </w:rPr>
        <w:t xml:space="preserve"> de 340 millions (M) en 2014 à 510 M en 2030 et 807 M en 2050</w:t>
      </w:r>
      <w:r w:rsidR="00365A65" w:rsidRPr="007B3524">
        <w:rPr>
          <w:rFonts w:ascii="Times New Roman" w:hAnsi="Times New Roman" w:cs="Times New Roman"/>
          <w:sz w:val="24"/>
          <w:szCs w:val="24"/>
          <w:lang w:eastAsia="en-GB"/>
        </w:rPr>
        <w:t xml:space="preserve"> – l'obligera non seulement à importer plus mais aussi à dégager des ressources budgétaires supplémenta</w:t>
      </w:r>
      <w:r w:rsidR="00424E44" w:rsidRPr="007B3524">
        <w:rPr>
          <w:rFonts w:ascii="Times New Roman" w:hAnsi="Times New Roman" w:cs="Times New Roman"/>
          <w:sz w:val="24"/>
          <w:szCs w:val="24"/>
          <w:lang w:eastAsia="en-GB"/>
        </w:rPr>
        <w:t>i</w:t>
      </w:r>
      <w:r w:rsidR="00365A65" w:rsidRPr="007B3524">
        <w:rPr>
          <w:rFonts w:ascii="Times New Roman" w:hAnsi="Times New Roman" w:cs="Times New Roman"/>
          <w:sz w:val="24"/>
          <w:szCs w:val="24"/>
          <w:lang w:eastAsia="en-GB"/>
        </w:rPr>
        <w:t xml:space="preserve">res pour faire face </w:t>
      </w:r>
      <w:r w:rsidR="00424E44" w:rsidRPr="007B3524">
        <w:rPr>
          <w:rFonts w:ascii="Times New Roman" w:hAnsi="Times New Roman" w:cs="Times New Roman"/>
          <w:sz w:val="24"/>
          <w:szCs w:val="24"/>
          <w:lang w:eastAsia="en-GB"/>
        </w:rPr>
        <w:t>à la hausse correspondante de ses</w:t>
      </w:r>
      <w:r w:rsidR="00365A65" w:rsidRPr="007B3524">
        <w:rPr>
          <w:rFonts w:ascii="Times New Roman" w:hAnsi="Times New Roman" w:cs="Times New Roman"/>
          <w:sz w:val="24"/>
          <w:szCs w:val="24"/>
          <w:lang w:eastAsia="en-GB"/>
        </w:rPr>
        <w:t xml:space="preserve"> dépenses publiques</w:t>
      </w:r>
      <w:r w:rsidR="00D6545C" w:rsidRPr="007B3524">
        <w:rPr>
          <w:rFonts w:ascii="Times New Roman" w:hAnsi="Times New Roman" w:cs="Times New Roman"/>
          <w:sz w:val="24"/>
          <w:szCs w:val="24"/>
          <w:lang w:eastAsia="en-GB"/>
        </w:rPr>
        <w:t>,</w:t>
      </w:r>
      <w:r w:rsidR="00424E44" w:rsidRPr="007B3524">
        <w:rPr>
          <w:rFonts w:ascii="Times New Roman" w:hAnsi="Times New Roman" w:cs="Times New Roman"/>
          <w:sz w:val="24"/>
          <w:szCs w:val="24"/>
          <w:lang w:eastAsia="en-GB"/>
        </w:rPr>
        <w:t xml:space="preserve"> et elle devrait d'ailleurs avoir le droit de les relever indépendamment de la hausse de sa population</w:t>
      </w:r>
      <w:r w:rsidR="00D6545C" w:rsidRPr="007B3524">
        <w:rPr>
          <w:rFonts w:ascii="Times New Roman" w:hAnsi="Times New Roman" w:cs="Times New Roman"/>
          <w:sz w:val="24"/>
          <w:szCs w:val="24"/>
          <w:lang w:eastAsia="en-GB"/>
        </w:rPr>
        <w:t xml:space="preserve"> pour améliorer son bien-être</w:t>
      </w:r>
      <w:r w:rsidR="00365A65" w:rsidRPr="007B3524">
        <w:rPr>
          <w:rFonts w:ascii="Times New Roman" w:hAnsi="Times New Roman" w:cs="Times New Roman"/>
          <w:sz w:val="24"/>
          <w:szCs w:val="24"/>
          <w:lang w:eastAsia="en-GB"/>
        </w:rPr>
        <w:t xml:space="preserve">; </w:t>
      </w:r>
    </w:p>
    <w:p w:rsidR="00852B0D" w:rsidRPr="007B3524" w:rsidRDefault="00852B0D" w:rsidP="00D60A4E">
      <w:pPr>
        <w:spacing w:after="0" w:line="240" w:lineRule="auto"/>
        <w:jc w:val="both"/>
        <w:rPr>
          <w:rFonts w:ascii="Times New Roman" w:hAnsi="Times New Roman" w:cs="Times New Roman"/>
          <w:sz w:val="24"/>
          <w:szCs w:val="24"/>
          <w:lang w:eastAsia="en-GB"/>
        </w:rPr>
      </w:pPr>
    </w:p>
    <w:p w:rsidR="00D60A4E" w:rsidRPr="007B3524" w:rsidRDefault="00852B0D" w:rsidP="00D60A4E">
      <w:pPr>
        <w:spacing w:after="0" w:line="240" w:lineRule="auto"/>
        <w:jc w:val="both"/>
        <w:rPr>
          <w:rFonts w:ascii="Times New Roman" w:hAnsi="Times New Roman" w:cs="Times New Roman"/>
          <w:sz w:val="24"/>
          <w:szCs w:val="24"/>
          <w:lang w:eastAsia="en-GB"/>
        </w:rPr>
      </w:pPr>
      <w:r w:rsidRPr="007B3524">
        <w:rPr>
          <w:rFonts w:ascii="Times New Roman" w:hAnsi="Times New Roman" w:cs="Times New Roman"/>
          <w:sz w:val="24"/>
          <w:szCs w:val="24"/>
          <w:lang w:eastAsia="en-GB"/>
        </w:rPr>
        <w:t>b) C</w:t>
      </w:r>
      <w:r w:rsidR="00697568" w:rsidRPr="007B3524">
        <w:rPr>
          <w:rFonts w:ascii="Times New Roman" w:hAnsi="Times New Roman" w:cs="Times New Roman"/>
          <w:sz w:val="24"/>
          <w:szCs w:val="24"/>
          <w:lang w:eastAsia="en-GB"/>
        </w:rPr>
        <w:t>ette disposition sous-entend que l'AO, du moins la CEDEAO, ne pourrait pas devenir membre de l'OMC</w:t>
      </w:r>
      <w:r w:rsidR="00D60A4E" w:rsidRPr="007B3524">
        <w:rPr>
          <w:rFonts w:ascii="Times New Roman" w:hAnsi="Times New Roman" w:cs="Times New Roman"/>
          <w:sz w:val="24"/>
          <w:szCs w:val="24"/>
          <w:lang w:eastAsia="en-GB"/>
        </w:rPr>
        <w:t xml:space="preserve"> </w:t>
      </w:r>
      <w:r w:rsidR="00697568" w:rsidRPr="007B3524">
        <w:rPr>
          <w:rFonts w:ascii="Times New Roman" w:hAnsi="Times New Roman" w:cs="Times New Roman"/>
          <w:sz w:val="24"/>
          <w:szCs w:val="24"/>
          <w:lang w:eastAsia="en-GB"/>
        </w:rPr>
        <w:t>et se</w:t>
      </w:r>
      <w:r w:rsidR="00365A65" w:rsidRPr="007B3524">
        <w:rPr>
          <w:rFonts w:ascii="Times New Roman" w:hAnsi="Times New Roman" w:cs="Times New Roman"/>
          <w:sz w:val="24"/>
          <w:szCs w:val="24"/>
          <w:lang w:eastAsia="en-GB"/>
        </w:rPr>
        <w:t xml:space="preserve"> </w:t>
      </w:r>
      <w:r w:rsidR="00697568" w:rsidRPr="007B3524">
        <w:rPr>
          <w:rFonts w:ascii="Times New Roman" w:hAnsi="Times New Roman" w:cs="Times New Roman"/>
          <w:sz w:val="24"/>
          <w:szCs w:val="24"/>
          <w:lang w:eastAsia="en-GB"/>
        </w:rPr>
        <w:t>faire reconn</w:t>
      </w:r>
      <w:r w:rsidR="00365A65" w:rsidRPr="007B3524">
        <w:rPr>
          <w:rFonts w:ascii="Times New Roman" w:hAnsi="Times New Roman" w:cs="Times New Roman"/>
          <w:sz w:val="24"/>
          <w:szCs w:val="24"/>
          <w:lang w:eastAsia="en-GB"/>
        </w:rPr>
        <w:t>aî</w:t>
      </w:r>
      <w:r w:rsidR="00697568" w:rsidRPr="007B3524">
        <w:rPr>
          <w:rFonts w:ascii="Times New Roman" w:hAnsi="Times New Roman" w:cs="Times New Roman"/>
          <w:sz w:val="24"/>
          <w:szCs w:val="24"/>
          <w:lang w:eastAsia="en-GB"/>
        </w:rPr>
        <w:t>tre des DD co</w:t>
      </w:r>
      <w:r w:rsidR="00365A65" w:rsidRPr="007B3524">
        <w:rPr>
          <w:rFonts w:ascii="Times New Roman" w:hAnsi="Times New Roman" w:cs="Times New Roman"/>
          <w:sz w:val="24"/>
          <w:szCs w:val="24"/>
          <w:lang w:eastAsia="en-GB"/>
        </w:rPr>
        <w:t>n</w:t>
      </w:r>
      <w:r w:rsidR="00697568" w:rsidRPr="007B3524">
        <w:rPr>
          <w:rFonts w:ascii="Times New Roman" w:hAnsi="Times New Roman" w:cs="Times New Roman"/>
          <w:sz w:val="24"/>
          <w:szCs w:val="24"/>
          <w:lang w:eastAsia="en-GB"/>
        </w:rPr>
        <w:t>solidés au n</w:t>
      </w:r>
      <w:r w:rsidR="00365A65" w:rsidRPr="007B3524">
        <w:rPr>
          <w:rFonts w:ascii="Times New Roman" w:hAnsi="Times New Roman" w:cs="Times New Roman"/>
          <w:sz w:val="24"/>
          <w:szCs w:val="24"/>
          <w:lang w:eastAsia="en-GB"/>
        </w:rPr>
        <w:t>i</w:t>
      </w:r>
      <w:r w:rsidR="00697568" w:rsidRPr="007B3524">
        <w:rPr>
          <w:rFonts w:ascii="Times New Roman" w:hAnsi="Times New Roman" w:cs="Times New Roman"/>
          <w:sz w:val="24"/>
          <w:szCs w:val="24"/>
          <w:lang w:eastAsia="en-GB"/>
        </w:rPr>
        <w:t>veau de la moyenne pondérée des DD con</w:t>
      </w:r>
      <w:r w:rsidR="00365A65" w:rsidRPr="007B3524">
        <w:rPr>
          <w:rFonts w:ascii="Times New Roman" w:hAnsi="Times New Roman" w:cs="Times New Roman"/>
          <w:sz w:val="24"/>
          <w:szCs w:val="24"/>
          <w:lang w:eastAsia="en-GB"/>
        </w:rPr>
        <w:t>s</w:t>
      </w:r>
      <w:r w:rsidR="00697568" w:rsidRPr="007B3524">
        <w:rPr>
          <w:rFonts w:ascii="Times New Roman" w:hAnsi="Times New Roman" w:cs="Times New Roman"/>
          <w:sz w:val="24"/>
          <w:szCs w:val="24"/>
          <w:lang w:eastAsia="en-GB"/>
        </w:rPr>
        <w:t>olidés actuels de ses membres</w:t>
      </w:r>
      <w:r w:rsidR="00D6545C" w:rsidRPr="007B3524">
        <w:rPr>
          <w:rFonts w:ascii="Times New Roman" w:hAnsi="Times New Roman" w:cs="Times New Roman"/>
          <w:sz w:val="24"/>
          <w:szCs w:val="24"/>
          <w:lang w:eastAsia="en-GB"/>
        </w:rPr>
        <w:t>,</w:t>
      </w:r>
      <w:r w:rsidR="00697568" w:rsidRPr="007B3524">
        <w:rPr>
          <w:rFonts w:ascii="Times New Roman" w:hAnsi="Times New Roman" w:cs="Times New Roman"/>
          <w:sz w:val="24"/>
          <w:szCs w:val="24"/>
          <w:lang w:eastAsia="en-GB"/>
        </w:rPr>
        <w:t xml:space="preserve"> du moins de 14 d'entre eux puisque l</w:t>
      </w:r>
      <w:r w:rsidR="00365A65" w:rsidRPr="007B3524">
        <w:rPr>
          <w:rFonts w:ascii="Times New Roman" w:hAnsi="Times New Roman" w:cs="Times New Roman"/>
          <w:sz w:val="24"/>
          <w:szCs w:val="24"/>
          <w:lang w:eastAsia="en-GB"/>
        </w:rPr>
        <w:t xml:space="preserve">e processus </w:t>
      </w:r>
      <w:r w:rsidR="00697568" w:rsidRPr="007B3524">
        <w:rPr>
          <w:rFonts w:ascii="Times New Roman" w:hAnsi="Times New Roman" w:cs="Times New Roman"/>
          <w:sz w:val="24"/>
          <w:szCs w:val="24"/>
          <w:lang w:eastAsia="en-GB"/>
        </w:rPr>
        <w:t>d</w:t>
      </w:r>
      <w:r w:rsidR="00365A65" w:rsidRPr="007B3524">
        <w:rPr>
          <w:rFonts w:ascii="Times New Roman" w:hAnsi="Times New Roman" w:cs="Times New Roman"/>
          <w:sz w:val="24"/>
          <w:szCs w:val="24"/>
          <w:lang w:eastAsia="en-GB"/>
        </w:rPr>
        <w:t>'adhésion d</w:t>
      </w:r>
      <w:r w:rsidR="00697568" w:rsidRPr="007B3524">
        <w:rPr>
          <w:rFonts w:ascii="Times New Roman" w:hAnsi="Times New Roman" w:cs="Times New Roman"/>
          <w:sz w:val="24"/>
          <w:szCs w:val="24"/>
          <w:lang w:eastAsia="en-GB"/>
        </w:rPr>
        <w:t xml:space="preserve">u Libéria </w:t>
      </w:r>
      <w:r w:rsidR="00365A65" w:rsidRPr="007B3524">
        <w:rPr>
          <w:rFonts w:ascii="Times New Roman" w:hAnsi="Times New Roman" w:cs="Times New Roman"/>
          <w:sz w:val="24"/>
          <w:szCs w:val="24"/>
          <w:lang w:eastAsia="en-GB"/>
        </w:rPr>
        <w:t xml:space="preserve">à l'OMC </w:t>
      </w:r>
      <w:r w:rsidR="00697568" w:rsidRPr="007B3524">
        <w:rPr>
          <w:rFonts w:ascii="Times New Roman" w:hAnsi="Times New Roman" w:cs="Times New Roman"/>
          <w:sz w:val="24"/>
          <w:szCs w:val="24"/>
          <w:lang w:eastAsia="en-GB"/>
        </w:rPr>
        <w:t>n</w:t>
      </w:r>
      <w:r w:rsidR="00365A65" w:rsidRPr="007B3524">
        <w:rPr>
          <w:rFonts w:ascii="Times New Roman" w:hAnsi="Times New Roman" w:cs="Times New Roman"/>
          <w:sz w:val="24"/>
          <w:szCs w:val="24"/>
          <w:lang w:eastAsia="en-GB"/>
        </w:rPr>
        <w:t xml:space="preserve">'est pas terminé. Car, une fois membre de l'OMC, la CEDEAO sera libre de relever ses DD appliqués </w:t>
      </w:r>
      <w:r w:rsidR="00424E44" w:rsidRPr="007B3524">
        <w:rPr>
          <w:rFonts w:ascii="Times New Roman" w:hAnsi="Times New Roman" w:cs="Times New Roman"/>
          <w:sz w:val="24"/>
          <w:szCs w:val="24"/>
          <w:lang w:eastAsia="en-GB"/>
        </w:rPr>
        <w:t>jusqu'</w:t>
      </w:r>
      <w:r w:rsidR="00D6545C" w:rsidRPr="007B3524">
        <w:rPr>
          <w:rFonts w:ascii="Times New Roman" w:hAnsi="Times New Roman" w:cs="Times New Roman"/>
          <w:sz w:val="24"/>
          <w:szCs w:val="24"/>
          <w:lang w:eastAsia="en-GB"/>
        </w:rPr>
        <w:t>à leur</w:t>
      </w:r>
      <w:r w:rsidR="00424E44" w:rsidRPr="007B3524">
        <w:rPr>
          <w:rFonts w:ascii="Times New Roman" w:hAnsi="Times New Roman" w:cs="Times New Roman"/>
          <w:sz w:val="24"/>
          <w:szCs w:val="24"/>
          <w:lang w:eastAsia="en-GB"/>
        </w:rPr>
        <w:t xml:space="preserve"> niveau consolidé </w:t>
      </w:r>
      <w:r w:rsidR="00365A65" w:rsidRPr="007B3524">
        <w:rPr>
          <w:rFonts w:ascii="Times New Roman" w:hAnsi="Times New Roman" w:cs="Times New Roman"/>
          <w:sz w:val="24"/>
          <w:szCs w:val="24"/>
          <w:lang w:eastAsia="en-GB"/>
        </w:rPr>
        <w:t xml:space="preserve">et, si elle ne peut le faire sur ses importations venant de l'UE du fait de cet article 9 de l'APE, les autres Membres de l'OMC porteraient plainte pour violation de la clause de la nation la plus favorisée (article </w:t>
      </w:r>
      <w:r w:rsidR="00827E8E">
        <w:rPr>
          <w:rFonts w:ascii="Times New Roman" w:hAnsi="Times New Roman" w:cs="Times New Roman"/>
          <w:sz w:val="24"/>
          <w:szCs w:val="24"/>
        </w:rPr>
        <w:t>1</w:t>
      </w:r>
      <w:r w:rsidR="00827E8E" w:rsidRPr="00827E8E">
        <w:rPr>
          <w:rFonts w:ascii="Times New Roman" w:hAnsi="Times New Roman" w:cs="Times New Roman"/>
          <w:sz w:val="24"/>
          <w:szCs w:val="24"/>
          <w:vertAlign w:val="superscript"/>
        </w:rPr>
        <w:t>er</w:t>
      </w:r>
      <w:r w:rsidR="00827E8E">
        <w:rPr>
          <w:rFonts w:ascii="Times New Roman" w:hAnsi="Times New Roman" w:cs="Times New Roman"/>
          <w:sz w:val="24"/>
          <w:szCs w:val="24"/>
        </w:rPr>
        <w:t xml:space="preserve"> </w:t>
      </w:r>
      <w:r w:rsidR="00365A65" w:rsidRPr="007B3524">
        <w:rPr>
          <w:rFonts w:ascii="Times New Roman" w:hAnsi="Times New Roman" w:cs="Times New Roman"/>
          <w:sz w:val="24"/>
          <w:szCs w:val="24"/>
          <w:lang w:eastAsia="en-GB"/>
        </w:rPr>
        <w:t>du GATT)</w:t>
      </w:r>
      <w:r w:rsidR="00424E44" w:rsidRPr="007B3524">
        <w:rPr>
          <w:rFonts w:ascii="Times New Roman" w:hAnsi="Times New Roman" w:cs="Times New Roman"/>
          <w:sz w:val="24"/>
          <w:szCs w:val="24"/>
          <w:lang w:eastAsia="en-GB"/>
        </w:rPr>
        <w:t xml:space="preserve"> pui</w:t>
      </w:r>
      <w:r w:rsidR="00827E8E" w:rsidRPr="007B3524">
        <w:rPr>
          <w:rFonts w:ascii="Times New Roman" w:hAnsi="Times New Roman" w:cs="Times New Roman"/>
          <w:sz w:val="24"/>
          <w:szCs w:val="24"/>
          <w:lang w:eastAsia="en-GB"/>
        </w:rPr>
        <w:t>s</w:t>
      </w:r>
      <w:r w:rsidR="00424E44" w:rsidRPr="007B3524">
        <w:rPr>
          <w:rFonts w:ascii="Times New Roman" w:hAnsi="Times New Roman" w:cs="Times New Roman"/>
          <w:sz w:val="24"/>
          <w:szCs w:val="24"/>
          <w:lang w:eastAsia="en-GB"/>
        </w:rPr>
        <w:t>que les importations venant de l'UE seraient favorisées</w:t>
      </w:r>
      <w:r w:rsidR="00365A65" w:rsidRPr="007B3524">
        <w:rPr>
          <w:rFonts w:ascii="Times New Roman" w:hAnsi="Times New Roman" w:cs="Times New Roman"/>
          <w:sz w:val="24"/>
          <w:szCs w:val="24"/>
          <w:lang w:eastAsia="en-GB"/>
        </w:rPr>
        <w:t xml:space="preserve">.   </w:t>
      </w:r>
      <w:r w:rsidR="00697568" w:rsidRPr="007B3524">
        <w:rPr>
          <w:rFonts w:ascii="Times New Roman" w:hAnsi="Times New Roman" w:cs="Times New Roman"/>
          <w:sz w:val="24"/>
          <w:szCs w:val="24"/>
          <w:lang w:eastAsia="en-GB"/>
        </w:rPr>
        <w:t xml:space="preserve"> </w:t>
      </w:r>
      <w:r w:rsidR="00D60A4E" w:rsidRPr="007B3524">
        <w:rPr>
          <w:rFonts w:ascii="Times New Roman" w:hAnsi="Times New Roman" w:cs="Times New Roman"/>
          <w:sz w:val="24"/>
          <w:szCs w:val="24"/>
          <w:lang w:eastAsia="en-GB"/>
        </w:rPr>
        <w:t xml:space="preserve"> </w:t>
      </w:r>
      <w:r w:rsidR="00D60A4E" w:rsidRPr="00D60A4E">
        <w:rPr>
          <w:rFonts w:ascii="Times New Roman" w:hAnsi="Times New Roman" w:cs="Times New Roman"/>
          <w:sz w:val="24"/>
          <w:szCs w:val="24"/>
        </w:rPr>
        <w:t xml:space="preserve"> </w:t>
      </w:r>
    </w:p>
    <w:p w:rsidR="007073C4" w:rsidRPr="007B3524" w:rsidRDefault="007073C4" w:rsidP="00DF07A8">
      <w:pPr>
        <w:pStyle w:val="Titrearticle"/>
        <w:spacing w:before="0" w:after="0"/>
        <w:jc w:val="both"/>
        <w:rPr>
          <w:b/>
          <w:i w:val="0"/>
          <w:noProof/>
          <w:u w:val="single"/>
          <w:lang w:val="fr-FR"/>
        </w:rPr>
      </w:pPr>
    </w:p>
    <w:p w:rsidR="00820538" w:rsidRPr="007B3524" w:rsidRDefault="0051226C" w:rsidP="00DF07A8">
      <w:pPr>
        <w:pStyle w:val="Titrearticle"/>
        <w:spacing w:before="0" w:after="0"/>
        <w:jc w:val="both"/>
        <w:rPr>
          <w:lang w:val="fr-FR"/>
        </w:rPr>
      </w:pPr>
      <w:r w:rsidRPr="007B3524">
        <w:rPr>
          <w:b/>
          <w:i w:val="0"/>
          <w:noProof/>
          <w:u w:val="single"/>
          <w:lang w:val="fr-FR"/>
        </w:rPr>
        <w:t xml:space="preserve">2) </w:t>
      </w:r>
      <w:r w:rsidR="00346962" w:rsidRPr="007B3524">
        <w:rPr>
          <w:b/>
          <w:i w:val="0"/>
          <w:noProof/>
          <w:u w:val="single"/>
          <w:lang w:val="fr-FR"/>
        </w:rPr>
        <w:t xml:space="preserve">Verrouillage </w:t>
      </w:r>
      <w:r w:rsidR="007073C4" w:rsidRPr="007B3524">
        <w:rPr>
          <w:b/>
          <w:i w:val="0"/>
          <w:noProof/>
          <w:u w:val="single"/>
          <w:lang w:val="fr-FR"/>
        </w:rPr>
        <w:t xml:space="preserve">des </w:t>
      </w:r>
      <w:r w:rsidR="00F057B6" w:rsidRPr="007B3524">
        <w:rPr>
          <w:b/>
          <w:i w:val="0"/>
          <w:noProof/>
          <w:u w:val="single"/>
          <w:lang w:val="fr-FR"/>
        </w:rPr>
        <w:t>droits de douane</w:t>
      </w:r>
      <w:r w:rsidR="007073C4" w:rsidRPr="007B3524">
        <w:rPr>
          <w:b/>
          <w:i w:val="0"/>
          <w:noProof/>
          <w:u w:val="single"/>
          <w:lang w:val="fr-FR"/>
        </w:rPr>
        <w:t xml:space="preserve"> par ligne tarifaire</w:t>
      </w:r>
      <w:r w:rsidR="00F057B6" w:rsidRPr="007B3524">
        <w:rPr>
          <w:b/>
          <w:i w:val="0"/>
          <w:noProof/>
          <w:lang w:val="fr-FR"/>
        </w:rPr>
        <w:t xml:space="preserve"> </w:t>
      </w:r>
      <w:r w:rsidR="00F057B6" w:rsidRPr="007B3524">
        <w:rPr>
          <w:i w:val="0"/>
          <w:noProof/>
          <w:lang w:val="fr-FR"/>
        </w:rPr>
        <w:t xml:space="preserve">: </w:t>
      </w:r>
      <w:r w:rsidR="00820538" w:rsidRPr="007B3524">
        <w:rPr>
          <w:rStyle w:val="hps"/>
          <w:i w:val="0"/>
          <w:u w:val="single"/>
          <w:lang w:val="fr-FR"/>
        </w:rPr>
        <w:t>Article</w:t>
      </w:r>
      <w:r w:rsidR="00820538" w:rsidRPr="007B3524">
        <w:rPr>
          <w:i w:val="0"/>
          <w:u w:val="single"/>
          <w:lang w:val="fr-FR"/>
        </w:rPr>
        <w:t xml:space="preserve"> </w:t>
      </w:r>
      <w:r w:rsidR="00820538" w:rsidRPr="007B3524">
        <w:rPr>
          <w:rStyle w:val="hps"/>
          <w:i w:val="0"/>
          <w:u w:val="single"/>
          <w:lang w:val="fr-FR"/>
        </w:rPr>
        <w:t>7</w:t>
      </w:r>
      <w:r w:rsidR="00820538" w:rsidRPr="007B3524">
        <w:rPr>
          <w:i w:val="0"/>
          <w:u w:val="single"/>
          <w:lang w:val="fr-FR"/>
        </w:rPr>
        <w:t xml:space="preserve"> D</w:t>
      </w:r>
      <w:r w:rsidR="00820538" w:rsidRPr="007B3524">
        <w:rPr>
          <w:rStyle w:val="hps"/>
          <w:i w:val="0"/>
          <w:u w:val="single"/>
          <w:lang w:val="fr-FR"/>
        </w:rPr>
        <w:t>roits de douane</w:t>
      </w:r>
      <w:r w:rsidR="00820538" w:rsidRPr="007B3524">
        <w:rPr>
          <w:lang w:val="fr-FR"/>
        </w:rPr>
        <w:t xml:space="preserve"> </w:t>
      </w:r>
    </w:p>
    <w:p w:rsidR="00820538" w:rsidRPr="007B3524" w:rsidRDefault="00820538" w:rsidP="00DF07A8">
      <w:pPr>
        <w:pStyle w:val="Titrearticle"/>
        <w:spacing w:before="0" w:after="0"/>
        <w:jc w:val="both"/>
        <w:rPr>
          <w:lang w:val="fr-FR"/>
        </w:rPr>
      </w:pPr>
      <w:r w:rsidRPr="007B3524">
        <w:rPr>
          <w:rStyle w:val="hps"/>
          <w:lang w:val="fr-FR"/>
        </w:rPr>
        <w:t>2</w:t>
      </w:r>
      <w:r w:rsidRPr="007B3524">
        <w:rPr>
          <w:lang w:val="fr-FR"/>
        </w:rPr>
        <w:t xml:space="preserve"> </w:t>
      </w:r>
      <w:r w:rsidRPr="007B3524">
        <w:rPr>
          <w:rStyle w:val="hps"/>
          <w:lang w:val="fr-FR"/>
        </w:rPr>
        <w:t>Pour chaque</w:t>
      </w:r>
      <w:r w:rsidRPr="007B3524">
        <w:rPr>
          <w:lang w:val="fr-FR"/>
        </w:rPr>
        <w:t xml:space="preserve"> </w:t>
      </w:r>
      <w:r w:rsidRPr="007B3524">
        <w:rPr>
          <w:rStyle w:val="hps"/>
          <w:lang w:val="fr-FR"/>
        </w:rPr>
        <w:t>produit le droit</w:t>
      </w:r>
      <w:r w:rsidRPr="007B3524">
        <w:rPr>
          <w:lang w:val="fr-FR"/>
        </w:rPr>
        <w:t xml:space="preserve"> </w:t>
      </w:r>
      <w:r w:rsidRPr="007B3524">
        <w:rPr>
          <w:rStyle w:val="hps"/>
          <w:lang w:val="fr-FR"/>
        </w:rPr>
        <w:t>de douane de base</w:t>
      </w:r>
      <w:r w:rsidRPr="007B3524">
        <w:rPr>
          <w:lang w:val="fr-FR"/>
        </w:rPr>
        <w:t xml:space="preserve"> </w:t>
      </w:r>
      <w:r w:rsidRPr="007B3524">
        <w:rPr>
          <w:rStyle w:val="hps"/>
          <w:lang w:val="fr-FR"/>
        </w:rPr>
        <w:t>sur lequel les réductions</w:t>
      </w:r>
      <w:r w:rsidRPr="007B3524">
        <w:rPr>
          <w:lang w:val="fr-FR"/>
        </w:rPr>
        <w:t xml:space="preserve"> </w:t>
      </w:r>
      <w:r w:rsidRPr="007B3524">
        <w:rPr>
          <w:rStyle w:val="hps"/>
          <w:lang w:val="fr-FR"/>
        </w:rPr>
        <w:t>successives prévues dans</w:t>
      </w:r>
      <w:r w:rsidRPr="007B3524">
        <w:rPr>
          <w:lang w:val="fr-FR"/>
        </w:rPr>
        <w:t xml:space="preserve"> </w:t>
      </w:r>
      <w:r w:rsidRPr="007B3524">
        <w:rPr>
          <w:rStyle w:val="hps"/>
          <w:lang w:val="fr-FR"/>
        </w:rPr>
        <w:t>l'accord</w:t>
      </w:r>
      <w:r w:rsidRPr="007B3524">
        <w:rPr>
          <w:lang w:val="fr-FR"/>
        </w:rPr>
        <w:t xml:space="preserve"> </w:t>
      </w:r>
      <w:r w:rsidRPr="007B3524">
        <w:rPr>
          <w:rStyle w:val="hps"/>
          <w:lang w:val="fr-FR"/>
        </w:rPr>
        <w:t>doivent être appliquées</w:t>
      </w:r>
      <w:r w:rsidRPr="007B3524">
        <w:rPr>
          <w:lang w:val="fr-FR"/>
        </w:rPr>
        <w:t xml:space="preserve"> </w:t>
      </w:r>
      <w:r w:rsidRPr="007B3524">
        <w:rPr>
          <w:rStyle w:val="hps"/>
          <w:lang w:val="fr-FR"/>
        </w:rPr>
        <w:t>est celui qui s'applique</w:t>
      </w:r>
      <w:r w:rsidRPr="007B3524">
        <w:rPr>
          <w:lang w:val="fr-FR"/>
        </w:rPr>
        <w:t xml:space="preserve"> </w:t>
      </w:r>
      <w:r w:rsidRPr="007B3524">
        <w:rPr>
          <w:rStyle w:val="hps"/>
          <w:lang w:val="fr-FR"/>
        </w:rPr>
        <w:t>effectivement</w:t>
      </w:r>
      <w:r w:rsidRPr="007B3524">
        <w:rPr>
          <w:lang w:val="fr-FR"/>
        </w:rPr>
        <w:t xml:space="preserve"> </w:t>
      </w:r>
      <w:r w:rsidRPr="007B3524">
        <w:rPr>
          <w:rStyle w:val="hps"/>
          <w:lang w:val="fr-FR"/>
        </w:rPr>
        <w:t>à la date</w:t>
      </w:r>
      <w:r w:rsidRPr="007B3524">
        <w:rPr>
          <w:lang w:val="fr-FR"/>
        </w:rPr>
        <w:t xml:space="preserve"> </w:t>
      </w:r>
      <w:r w:rsidRPr="007B3524">
        <w:rPr>
          <w:rStyle w:val="hps"/>
          <w:lang w:val="fr-FR"/>
        </w:rPr>
        <w:t>d'entrée en</w:t>
      </w:r>
      <w:r w:rsidRPr="007B3524">
        <w:rPr>
          <w:lang w:val="fr-FR"/>
        </w:rPr>
        <w:t xml:space="preserve"> </w:t>
      </w:r>
      <w:r w:rsidRPr="007B3524">
        <w:rPr>
          <w:rStyle w:val="hps"/>
          <w:lang w:val="fr-FR"/>
        </w:rPr>
        <w:t>vigueur de l'accord</w:t>
      </w:r>
      <w:r w:rsidRPr="007B3524">
        <w:rPr>
          <w:lang w:val="fr-FR"/>
        </w:rPr>
        <w:t>.</w:t>
      </w:r>
    </w:p>
    <w:p w:rsidR="00820538" w:rsidRPr="007B3524" w:rsidRDefault="00820538" w:rsidP="00DF07A8">
      <w:pPr>
        <w:pStyle w:val="Titrearticle"/>
        <w:spacing w:before="0" w:after="0"/>
        <w:jc w:val="both"/>
        <w:rPr>
          <w:b/>
          <w:noProof/>
          <w:szCs w:val="24"/>
          <w:lang w:val="fr-FR"/>
        </w:rPr>
      </w:pPr>
      <w:r w:rsidRPr="007B3524">
        <w:rPr>
          <w:lang w:val="fr-FR"/>
        </w:rPr>
        <w:br/>
      </w:r>
      <w:r w:rsidRPr="007B3524">
        <w:rPr>
          <w:rStyle w:val="hps"/>
          <w:i w:val="0"/>
          <w:lang w:val="fr-FR"/>
        </w:rPr>
        <w:t>ANNEXE</w:t>
      </w:r>
      <w:r w:rsidRPr="007B3524">
        <w:rPr>
          <w:i w:val="0"/>
          <w:lang w:val="fr-FR"/>
        </w:rPr>
        <w:t xml:space="preserve"> </w:t>
      </w:r>
      <w:r w:rsidRPr="007B3524">
        <w:rPr>
          <w:rStyle w:val="hps"/>
          <w:i w:val="0"/>
          <w:lang w:val="fr-FR"/>
        </w:rPr>
        <w:t>C</w:t>
      </w:r>
      <w:r w:rsidRPr="007B3524">
        <w:rPr>
          <w:i w:val="0"/>
          <w:lang w:val="fr-FR"/>
        </w:rPr>
        <w:t xml:space="preserve"> </w:t>
      </w:r>
      <w:r w:rsidRPr="007B3524">
        <w:rPr>
          <w:rStyle w:val="hps"/>
          <w:i w:val="0"/>
          <w:lang w:val="fr-FR"/>
        </w:rPr>
        <w:t>(Part 1</w:t>
      </w:r>
      <w:r w:rsidRPr="007B3524">
        <w:rPr>
          <w:i w:val="0"/>
          <w:lang w:val="fr-FR"/>
        </w:rPr>
        <w:t xml:space="preserve">) </w:t>
      </w:r>
      <w:r w:rsidRPr="007B3524">
        <w:rPr>
          <w:i w:val="0"/>
          <w:noProof/>
          <w:u w:val="single"/>
          <w:lang w:val="fr-FR"/>
        </w:rPr>
        <w:t>Droits de douane sur les produits provenant de l'Union</w:t>
      </w:r>
      <w:r w:rsidRPr="007B3524">
        <w:rPr>
          <w:i w:val="0"/>
          <w:noProof/>
          <w:szCs w:val="24"/>
          <w:u w:val="single"/>
          <w:lang w:val="fr-FR"/>
        </w:rPr>
        <w:t xml:space="preserve"> Européenne</w:t>
      </w:r>
      <w:r w:rsidRPr="007B3524">
        <w:rPr>
          <w:b/>
          <w:noProof/>
          <w:szCs w:val="24"/>
          <w:lang w:val="fr-FR"/>
        </w:rPr>
        <w:t xml:space="preserve"> </w:t>
      </w:r>
    </w:p>
    <w:p w:rsidR="00820538" w:rsidRPr="007B3524" w:rsidRDefault="00820538" w:rsidP="00DF07A8">
      <w:pPr>
        <w:pStyle w:val="Titrearticle"/>
        <w:spacing w:before="0" w:after="0"/>
        <w:jc w:val="both"/>
        <w:rPr>
          <w:lang w:val="fr-FR"/>
        </w:rPr>
      </w:pPr>
      <w:r w:rsidRPr="007B3524">
        <w:rPr>
          <w:rStyle w:val="hps"/>
          <w:lang w:val="fr-FR"/>
        </w:rPr>
        <w:t>1</w:t>
      </w:r>
      <w:r w:rsidRPr="007B3524">
        <w:rPr>
          <w:lang w:val="fr-FR"/>
        </w:rPr>
        <w:t xml:space="preserve"> </w:t>
      </w:r>
      <w:r w:rsidRPr="007B3524">
        <w:rPr>
          <w:rStyle w:val="hps"/>
          <w:lang w:val="fr-FR"/>
        </w:rPr>
        <w:t>Conformément à l'article</w:t>
      </w:r>
      <w:r w:rsidRPr="007B3524">
        <w:rPr>
          <w:lang w:val="fr-FR"/>
        </w:rPr>
        <w:t xml:space="preserve"> </w:t>
      </w:r>
      <w:r w:rsidRPr="007B3524">
        <w:rPr>
          <w:rStyle w:val="hps"/>
          <w:lang w:val="fr-FR"/>
        </w:rPr>
        <w:t>10 de l'Accord</w:t>
      </w:r>
      <w:r w:rsidRPr="007B3524">
        <w:rPr>
          <w:lang w:val="fr-FR"/>
        </w:rPr>
        <w:t>, l'</w:t>
      </w:r>
      <w:r w:rsidRPr="007B3524">
        <w:rPr>
          <w:rStyle w:val="hps"/>
          <w:lang w:val="fr-FR"/>
        </w:rPr>
        <w:t>Afrique de l'Ouest</w:t>
      </w:r>
      <w:r w:rsidRPr="007B3524">
        <w:rPr>
          <w:lang w:val="fr-FR"/>
        </w:rPr>
        <w:t xml:space="preserve"> </w:t>
      </w:r>
      <w:r w:rsidRPr="007B3524">
        <w:rPr>
          <w:rStyle w:val="hps"/>
          <w:lang w:val="fr-FR"/>
        </w:rPr>
        <w:t>doit</w:t>
      </w:r>
      <w:r w:rsidRPr="007B3524">
        <w:rPr>
          <w:lang w:val="fr-FR"/>
        </w:rPr>
        <w:t xml:space="preserve"> </w:t>
      </w:r>
      <w:r w:rsidRPr="007B3524">
        <w:rPr>
          <w:rStyle w:val="hps"/>
          <w:lang w:val="fr-FR"/>
        </w:rPr>
        <w:t>libéraliser</w:t>
      </w:r>
      <w:r w:rsidRPr="007B3524">
        <w:rPr>
          <w:lang w:val="fr-FR"/>
        </w:rPr>
        <w:t xml:space="preserve"> </w:t>
      </w:r>
      <w:r w:rsidRPr="007B3524">
        <w:rPr>
          <w:rStyle w:val="hps"/>
          <w:lang w:val="fr-FR"/>
        </w:rPr>
        <w:t>certains produits</w:t>
      </w:r>
      <w:r w:rsidRPr="007B3524">
        <w:rPr>
          <w:lang w:val="fr-FR"/>
        </w:rPr>
        <w:t xml:space="preserve"> provenant </w:t>
      </w:r>
      <w:r w:rsidRPr="007B3524">
        <w:rPr>
          <w:rStyle w:val="hps"/>
          <w:lang w:val="fr-FR"/>
        </w:rPr>
        <w:t>de la partie Union européenne</w:t>
      </w:r>
      <w:r w:rsidRPr="007B3524">
        <w:rPr>
          <w:lang w:val="fr-FR"/>
        </w:rPr>
        <w:t xml:space="preserve"> </w:t>
      </w:r>
      <w:r w:rsidRPr="007B3524">
        <w:rPr>
          <w:rStyle w:val="hps"/>
          <w:lang w:val="fr-FR"/>
        </w:rPr>
        <w:t>importés sur son</w:t>
      </w:r>
      <w:r w:rsidRPr="007B3524">
        <w:rPr>
          <w:lang w:val="fr-FR"/>
        </w:rPr>
        <w:t xml:space="preserve"> </w:t>
      </w:r>
      <w:r w:rsidRPr="007B3524">
        <w:rPr>
          <w:rStyle w:val="hps"/>
          <w:lang w:val="fr-FR"/>
        </w:rPr>
        <w:t>territoire, conformément au</w:t>
      </w:r>
      <w:r w:rsidRPr="007B3524">
        <w:rPr>
          <w:lang w:val="fr-FR"/>
        </w:rPr>
        <w:t xml:space="preserve"> </w:t>
      </w:r>
      <w:r w:rsidRPr="007B3524">
        <w:rPr>
          <w:rStyle w:val="hps"/>
          <w:lang w:val="fr-FR"/>
        </w:rPr>
        <w:t>démantèlement tarifanire</w:t>
      </w:r>
      <w:r w:rsidRPr="007B3524">
        <w:rPr>
          <w:lang w:val="fr-FR"/>
        </w:rPr>
        <w:t xml:space="preserve"> des </w:t>
      </w:r>
      <w:r w:rsidRPr="007B3524">
        <w:rPr>
          <w:rStyle w:val="hps"/>
          <w:lang w:val="fr-FR"/>
        </w:rPr>
        <w:t>catégories</w:t>
      </w:r>
      <w:r w:rsidRPr="007B3524">
        <w:rPr>
          <w:lang w:val="fr-FR"/>
        </w:rPr>
        <w:t xml:space="preserve"> </w:t>
      </w:r>
      <w:r w:rsidRPr="007B3524">
        <w:rPr>
          <w:rStyle w:val="hps"/>
          <w:lang w:val="fr-FR"/>
        </w:rPr>
        <w:t>A,</w:t>
      </w:r>
      <w:r w:rsidRPr="007B3524">
        <w:rPr>
          <w:lang w:val="fr-FR"/>
        </w:rPr>
        <w:t xml:space="preserve"> </w:t>
      </w:r>
      <w:r w:rsidRPr="007B3524">
        <w:rPr>
          <w:rStyle w:val="hps"/>
          <w:lang w:val="fr-FR"/>
        </w:rPr>
        <w:t>B</w:t>
      </w:r>
      <w:r w:rsidRPr="007B3524">
        <w:rPr>
          <w:lang w:val="fr-FR"/>
        </w:rPr>
        <w:t xml:space="preserve"> </w:t>
      </w:r>
      <w:r w:rsidRPr="007B3524">
        <w:rPr>
          <w:rStyle w:val="hps"/>
          <w:lang w:val="fr-FR"/>
        </w:rPr>
        <w:t>et C.</w:t>
      </w:r>
      <w:r w:rsidRPr="007B3524">
        <w:rPr>
          <w:lang w:val="fr-FR"/>
        </w:rPr>
        <w:t xml:space="preserve"> </w:t>
      </w:r>
      <w:r w:rsidRPr="007B3524">
        <w:rPr>
          <w:rStyle w:val="hps"/>
          <w:lang w:val="fr-FR"/>
        </w:rPr>
        <w:t>Une quatrième catégorie</w:t>
      </w:r>
      <w:r w:rsidRPr="007B3524">
        <w:rPr>
          <w:lang w:val="fr-FR"/>
        </w:rPr>
        <w:t xml:space="preserve">, </w:t>
      </w:r>
      <w:r w:rsidRPr="007B3524">
        <w:rPr>
          <w:rStyle w:val="hps"/>
          <w:lang w:val="fr-FR"/>
        </w:rPr>
        <w:t>D</w:t>
      </w:r>
      <w:r w:rsidRPr="007B3524">
        <w:rPr>
          <w:lang w:val="fr-FR"/>
        </w:rPr>
        <w:t xml:space="preserve">, </w:t>
      </w:r>
      <w:r w:rsidRPr="007B3524">
        <w:rPr>
          <w:rStyle w:val="hps"/>
          <w:lang w:val="fr-FR"/>
        </w:rPr>
        <w:t>couvre</w:t>
      </w:r>
      <w:r w:rsidRPr="007B3524">
        <w:rPr>
          <w:lang w:val="fr-FR"/>
        </w:rPr>
        <w:t xml:space="preserve"> </w:t>
      </w:r>
      <w:r w:rsidRPr="007B3524">
        <w:rPr>
          <w:rStyle w:val="hps"/>
          <w:lang w:val="fr-FR"/>
        </w:rPr>
        <w:t>la liste des</w:t>
      </w:r>
      <w:r w:rsidRPr="007B3524">
        <w:rPr>
          <w:lang w:val="fr-FR"/>
        </w:rPr>
        <w:t xml:space="preserve"> </w:t>
      </w:r>
      <w:r w:rsidRPr="007B3524">
        <w:rPr>
          <w:rStyle w:val="hps"/>
          <w:lang w:val="fr-FR"/>
        </w:rPr>
        <w:t>produits sensibles pour</w:t>
      </w:r>
      <w:r w:rsidRPr="007B3524">
        <w:rPr>
          <w:lang w:val="fr-FR"/>
        </w:rPr>
        <w:t xml:space="preserve"> </w:t>
      </w:r>
      <w:r w:rsidRPr="007B3524">
        <w:rPr>
          <w:rStyle w:val="hps"/>
          <w:lang w:val="fr-FR"/>
        </w:rPr>
        <w:t>la région</w:t>
      </w:r>
      <w:r w:rsidRPr="007B3524">
        <w:rPr>
          <w:lang w:val="fr-FR"/>
        </w:rPr>
        <w:t xml:space="preserve">, qui sont exclus </w:t>
      </w:r>
      <w:r w:rsidRPr="007B3524">
        <w:rPr>
          <w:rStyle w:val="hps"/>
          <w:lang w:val="fr-FR"/>
        </w:rPr>
        <w:t>de la libéralisation</w:t>
      </w:r>
      <w:r w:rsidRPr="007B3524">
        <w:rPr>
          <w:lang w:val="fr-FR"/>
        </w:rPr>
        <w:t xml:space="preserve">. </w:t>
      </w:r>
    </w:p>
    <w:p w:rsidR="00820538" w:rsidRPr="007B3524" w:rsidRDefault="00820538" w:rsidP="00DF07A8">
      <w:pPr>
        <w:pStyle w:val="Titrearticle"/>
        <w:spacing w:before="0" w:after="0"/>
        <w:jc w:val="both"/>
        <w:rPr>
          <w:rStyle w:val="hps"/>
          <w:lang w:val="fr-FR"/>
        </w:rPr>
      </w:pPr>
    </w:p>
    <w:p w:rsidR="00820538" w:rsidRPr="007B3524" w:rsidRDefault="00820538" w:rsidP="00DF07A8">
      <w:pPr>
        <w:pStyle w:val="Titrearticle"/>
        <w:spacing w:before="0" w:after="0"/>
        <w:jc w:val="both"/>
        <w:rPr>
          <w:lang w:val="fr-FR"/>
        </w:rPr>
      </w:pPr>
      <w:r w:rsidRPr="007B3524">
        <w:rPr>
          <w:rStyle w:val="hps"/>
          <w:lang w:val="fr-FR"/>
        </w:rPr>
        <w:t>2</w:t>
      </w:r>
      <w:r w:rsidRPr="007B3524">
        <w:rPr>
          <w:lang w:val="fr-FR"/>
        </w:rPr>
        <w:t xml:space="preserve"> </w:t>
      </w:r>
      <w:r w:rsidRPr="007B3524">
        <w:rPr>
          <w:rStyle w:val="hps"/>
          <w:lang w:val="fr-FR"/>
        </w:rPr>
        <w:t>Le classement des produits</w:t>
      </w:r>
      <w:r w:rsidRPr="007B3524">
        <w:rPr>
          <w:lang w:val="fr-FR"/>
        </w:rPr>
        <w:t xml:space="preserve"> </w:t>
      </w:r>
      <w:r w:rsidRPr="007B3524">
        <w:rPr>
          <w:rStyle w:val="hps"/>
          <w:lang w:val="fr-FR"/>
        </w:rPr>
        <w:t>dans les</w:t>
      </w:r>
      <w:r w:rsidRPr="007B3524">
        <w:rPr>
          <w:lang w:val="fr-FR"/>
        </w:rPr>
        <w:t xml:space="preserve"> </w:t>
      </w:r>
      <w:r w:rsidRPr="007B3524">
        <w:rPr>
          <w:rStyle w:val="hps"/>
          <w:lang w:val="fr-FR"/>
        </w:rPr>
        <w:t>différents groupes</w:t>
      </w:r>
      <w:r w:rsidRPr="007B3524">
        <w:rPr>
          <w:lang w:val="fr-FR"/>
        </w:rPr>
        <w:t xml:space="preserve"> </w:t>
      </w:r>
      <w:r w:rsidRPr="007B3524">
        <w:rPr>
          <w:rStyle w:val="hps"/>
          <w:lang w:val="fr-FR"/>
        </w:rPr>
        <w:t>de libéralisation</w:t>
      </w:r>
      <w:r w:rsidRPr="007B3524">
        <w:rPr>
          <w:lang w:val="fr-FR"/>
        </w:rPr>
        <w:t xml:space="preserve"> </w:t>
      </w:r>
      <w:r w:rsidRPr="007B3524">
        <w:rPr>
          <w:rStyle w:val="hps"/>
          <w:lang w:val="fr-FR"/>
        </w:rPr>
        <w:t>suit essentiellement</w:t>
      </w:r>
      <w:r w:rsidRPr="007B3524">
        <w:rPr>
          <w:lang w:val="fr-FR"/>
        </w:rPr>
        <w:t xml:space="preserve"> </w:t>
      </w:r>
      <w:r w:rsidRPr="007B3524">
        <w:rPr>
          <w:rStyle w:val="hps"/>
          <w:lang w:val="fr-FR"/>
        </w:rPr>
        <w:t>la catégorisation des</w:t>
      </w:r>
      <w:r w:rsidRPr="007B3524">
        <w:rPr>
          <w:lang w:val="fr-FR"/>
        </w:rPr>
        <w:t xml:space="preserve"> </w:t>
      </w:r>
      <w:r w:rsidRPr="007B3524">
        <w:rPr>
          <w:rStyle w:val="hps"/>
          <w:lang w:val="fr-FR"/>
        </w:rPr>
        <w:t>produits</w:t>
      </w:r>
      <w:r w:rsidRPr="007B3524">
        <w:rPr>
          <w:lang w:val="fr-FR"/>
        </w:rPr>
        <w:t xml:space="preserve"> </w:t>
      </w:r>
      <w:r w:rsidRPr="007B3524">
        <w:rPr>
          <w:rStyle w:val="hps"/>
          <w:lang w:val="fr-FR"/>
        </w:rPr>
        <w:t>dans les bandes</w:t>
      </w:r>
      <w:r w:rsidRPr="007B3524">
        <w:rPr>
          <w:lang w:val="fr-FR"/>
        </w:rPr>
        <w:t xml:space="preserve"> </w:t>
      </w:r>
      <w:r w:rsidRPr="007B3524">
        <w:rPr>
          <w:rStyle w:val="hps"/>
          <w:lang w:val="fr-FR"/>
        </w:rPr>
        <w:t>tarifaires</w:t>
      </w:r>
      <w:r w:rsidRPr="007B3524">
        <w:rPr>
          <w:lang w:val="fr-FR"/>
        </w:rPr>
        <w:t xml:space="preserve"> </w:t>
      </w:r>
      <w:r w:rsidRPr="007B3524">
        <w:rPr>
          <w:rStyle w:val="hps"/>
          <w:lang w:val="fr-FR"/>
        </w:rPr>
        <w:t>du</w:t>
      </w:r>
      <w:r w:rsidRPr="007B3524">
        <w:rPr>
          <w:lang w:val="fr-FR"/>
        </w:rPr>
        <w:t xml:space="preserve"> </w:t>
      </w:r>
      <w:r w:rsidRPr="007B3524">
        <w:rPr>
          <w:rStyle w:val="hps"/>
          <w:lang w:val="fr-FR"/>
        </w:rPr>
        <w:t>Tarif extérieur commun</w:t>
      </w:r>
      <w:r w:rsidRPr="007B3524">
        <w:rPr>
          <w:lang w:val="fr-FR"/>
        </w:rPr>
        <w:t xml:space="preserve"> </w:t>
      </w:r>
      <w:r w:rsidRPr="007B3524">
        <w:rPr>
          <w:rStyle w:val="hps"/>
          <w:lang w:val="fr-FR"/>
        </w:rPr>
        <w:t>de la CEDEAO</w:t>
      </w:r>
      <w:r w:rsidRPr="007B3524">
        <w:rPr>
          <w:lang w:val="fr-FR"/>
        </w:rPr>
        <w:t xml:space="preserve"> </w:t>
      </w:r>
      <w:r w:rsidRPr="007B3524">
        <w:rPr>
          <w:rStyle w:val="hps"/>
          <w:lang w:val="fr-FR"/>
        </w:rPr>
        <w:t>(</w:t>
      </w:r>
      <w:r w:rsidRPr="007B3524">
        <w:rPr>
          <w:lang w:val="fr-FR"/>
        </w:rPr>
        <w:t xml:space="preserve">TEC CEDEAO). </w:t>
      </w:r>
      <w:r w:rsidRPr="007B3524">
        <w:rPr>
          <w:rStyle w:val="hps"/>
          <w:lang w:val="fr-FR"/>
        </w:rPr>
        <w:t>En conséquence</w:t>
      </w:r>
      <w:r w:rsidRPr="007B3524">
        <w:rPr>
          <w:lang w:val="fr-FR"/>
        </w:rPr>
        <w:t xml:space="preserve">: </w:t>
      </w:r>
    </w:p>
    <w:p w:rsidR="00CA3562" w:rsidRPr="007B3524" w:rsidRDefault="00820538" w:rsidP="00DF07A8">
      <w:pPr>
        <w:pStyle w:val="Titrearticle"/>
        <w:spacing w:before="0" w:after="0"/>
        <w:jc w:val="both"/>
        <w:rPr>
          <w:lang w:val="fr-FR"/>
        </w:rPr>
      </w:pPr>
      <w:r w:rsidRPr="007B3524">
        <w:rPr>
          <w:rStyle w:val="hps"/>
          <w:lang w:val="fr-FR"/>
        </w:rPr>
        <w:t>a)</w:t>
      </w:r>
      <w:r w:rsidRPr="007B3524">
        <w:rPr>
          <w:lang w:val="fr-FR"/>
        </w:rPr>
        <w:t xml:space="preserve"> </w:t>
      </w:r>
      <w:r w:rsidR="00CA3562" w:rsidRPr="007B3524">
        <w:rPr>
          <w:lang w:val="fr-FR"/>
        </w:rPr>
        <w:t xml:space="preserve">Le </w:t>
      </w:r>
      <w:r w:rsidRPr="007B3524">
        <w:rPr>
          <w:rStyle w:val="hps"/>
          <w:lang w:val="fr-FR"/>
        </w:rPr>
        <w:t>groupe</w:t>
      </w:r>
      <w:r w:rsidRPr="007B3524">
        <w:rPr>
          <w:lang w:val="fr-FR"/>
        </w:rPr>
        <w:t xml:space="preserve"> </w:t>
      </w:r>
      <w:r w:rsidR="00CA3562" w:rsidRPr="007B3524">
        <w:rPr>
          <w:lang w:val="fr-FR"/>
        </w:rPr>
        <w:t xml:space="preserve">A </w:t>
      </w:r>
      <w:r w:rsidRPr="007B3524">
        <w:rPr>
          <w:rStyle w:val="hps"/>
          <w:lang w:val="fr-FR"/>
        </w:rPr>
        <w:t>couvre les biens</w:t>
      </w:r>
      <w:r w:rsidRPr="007B3524">
        <w:rPr>
          <w:lang w:val="fr-FR"/>
        </w:rPr>
        <w:t xml:space="preserve"> </w:t>
      </w:r>
      <w:r w:rsidRPr="007B3524">
        <w:rPr>
          <w:rStyle w:val="hps"/>
          <w:lang w:val="fr-FR"/>
        </w:rPr>
        <w:t>sociaux essentiels</w:t>
      </w:r>
      <w:r w:rsidRPr="007B3524">
        <w:rPr>
          <w:lang w:val="fr-FR"/>
        </w:rPr>
        <w:t xml:space="preserve">, les </w:t>
      </w:r>
      <w:r w:rsidR="00CA3562" w:rsidRPr="007B3524">
        <w:rPr>
          <w:lang w:val="fr-FR"/>
        </w:rPr>
        <w:t>besoins de base</w:t>
      </w:r>
      <w:r w:rsidRPr="007B3524">
        <w:rPr>
          <w:lang w:val="fr-FR"/>
        </w:rPr>
        <w:t xml:space="preserve">, </w:t>
      </w:r>
      <w:r w:rsidR="00CA3562" w:rsidRPr="007B3524">
        <w:rPr>
          <w:lang w:val="fr-FR"/>
        </w:rPr>
        <w:t xml:space="preserve">les </w:t>
      </w:r>
      <w:r w:rsidRPr="007B3524">
        <w:rPr>
          <w:rStyle w:val="hps"/>
          <w:lang w:val="fr-FR"/>
        </w:rPr>
        <w:t>produits de base,</w:t>
      </w:r>
      <w:r w:rsidRPr="007B3524">
        <w:rPr>
          <w:lang w:val="fr-FR"/>
        </w:rPr>
        <w:t xml:space="preserve"> </w:t>
      </w:r>
      <w:r w:rsidRPr="007B3524">
        <w:rPr>
          <w:rStyle w:val="hps"/>
          <w:lang w:val="fr-FR"/>
        </w:rPr>
        <w:t>les biens d'équipement</w:t>
      </w:r>
      <w:r w:rsidRPr="007B3524">
        <w:rPr>
          <w:lang w:val="fr-FR"/>
        </w:rPr>
        <w:t xml:space="preserve"> </w:t>
      </w:r>
      <w:r w:rsidRPr="007B3524">
        <w:rPr>
          <w:rStyle w:val="hps"/>
          <w:lang w:val="fr-FR"/>
        </w:rPr>
        <w:t>et les intrants spécifiques</w:t>
      </w:r>
      <w:r w:rsidRPr="007B3524">
        <w:rPr>
          <w:lang w:val="fr-FR"/>
        </w:rPr>
        <w:t>;</w:t>
      </w:r>
    </w:p>
    <w:p w:rsidR="00CA3562" w:rsidRPr="007B3524" w:rsidRDefault="00820538" w:rsidP="00DF07A8">
      <w:pPr>
        <w:pStyle w:val="Titrearticle"/>
        <w:spacing w:before="0" w:after="0"/>
        <w:jc w:val="both"/>
        <w:rPr>
          <w:rStyle w:val="hps"/>
          <w:lang w:val="fr-FR"/>
        </w:rPr>
      </w:pPr>
      <w:r w:rsidRPr="007B3524">
        <w:rPr>
          <w:rStyle w:val="hps"/>
          <w:lang w:val="fr-FR"/>
        </w:rPr>
        <w:t>b</w:t>
      </w:r>
      <w:r w:rsidRPr="007B3524">
        <w:rPr>
          <w:lang w:val="fr-FR"/>
        </w:rPr>
        <w:t xml:space="preserve">) </w:t>
      </w:r>
      <w:r w:rsidRPr="007B3524">
        <w:rPr>
          <w:rStyle w:val="hps"/>
          <w:lang w:val="fr-FR"/>
        </w:rPr>
        <w:t>le groupe B</w:t>
      </w:r>
      <w:r w:rsidRPr="007B3524">
        <w:rPr>
          <w:lang w:val="fr-FR"/>
        </w:rPr>
        <w:t xml:space="preserve"> </w:t>
      </w:r>
      <w:r w:rsidRPr="007B3524">
        <w:rPr>
          <w:rStyle w:val="hps"/>
          <w:lang w:val="fr-FR"/>
        </w:rPr>
        <w:t>comprend principalement les</w:t>
      </w:r>
      <w:r w:rsidRPr="007B3524">
        <w:rPr>
          <w:lang w:val="fr-FR"/>
        </w:rPr>
        <w:t xml:space="preserve"> </w:t>
      </w:r>
      <w:r w:rsidRPr="007B3524">
        <w:rPr>
          <w:rStyle w:val="hps"/>
          <w:lang w:val="fr-FR"/>
        </w:rPr>
        <w:t>intrants et les biens</w:t>
      </w:r>
      <w:r w:rsidRPr="007B3524">
        <w:rPr>
          <w:lang w:val="fr-FR"/>
        </w:rPr>
        <w:t xml:space="preserve"> </w:t>
      </w:r>
      <w:r w:rsidRPr="007B3524">
        <w:rPr>
          <w:rStyle w:val="hps"/>
          <w:lang w:val="fr-FR"/>
        </w:rPr>
        <w:t>intermédiaires</w:t>
      </w:r>
      <w:r w:rsidRPr="007B3524">
        <w:rPr>
          <w:lang w:val="fr-FR"/>
        </w:rPr>
        <w:t xml:space="preserve">; </w:t>
      </w:r>
      <w:r w:rsidRPr="007B3524">
        <w:rPr>
          <w:rStyle w:val="hps"/>
          <w:lang w:val="fr-FR"/>
        </w:rPr>
        <w:t>et</w:t>
      </w:r>
    </w:p>
    <w:p w:rsidR="00CA3562" w:rsidRPr="007B3524" w:rsidRDefault="00820538" w:rsidP="00DF07A8">
      <w:pPr>
        <w:pStyle w:val="Titrearticle"/>
        <w:spacing w:before="0" w:after="0"/>
        <w:jc w:val="both"/>
        <w:rPr>
          <w:lang w:val="fr-FR"/>
        </w:rPr>
      </w:pPr>
      <w:r w:rsidRPr="007B3524">
        <w:rPr>
          <w:rStyle w:val="hps"/>
          <w:lang w:val="fr-FR"/>
        </w:rPr>
        <w:t xml:space="preserve">c) </w:t>
      </w:r>
      <w:r w:rsidR="00CA3562" w:rsidRPr="007B3524">
        <w:rPr>
          <w:rStyle w:val="hps"/>
          <w:lang w:val="fr-FR"/>
        </w:rPr>
        <w:t>le g</w:t>
      </w:r>
      <w:r w:rsidRPr="007B3524">
        <w:rPr>
          <w:rStyle w:val="hps"/>
          <w:lang w:val="fr-FR"/>
        </w:rPr>
        <w:t>roupe</w:t>
      </w:r>
      <w:r w:rsidRPr="007B3524">
        <w:rPr>
          <w:lang w:val="fr-FR"/>
        </w:rPr>
        <w:t xml:space="preserve"> </w:t>
      </w:r>
      <w:r w:rsidRPr="007B3524">
        <w:rPr>
          <w:rStyle w:val="hps"/>
          <w:lang w:val="fr-FR"/>
        </w:rPr>
        <w:t>C</w:t>
      </w:r>
      <w:r w:rsidRPr="007B3524">
        <w:rPr>
          <w:lang w:val="fr-FR"/>
        </w:rPr>
        <w:t xml:space="preserve"> </w:t>
      </w:r>
      <w:r w:rsidRPr="007B3524">
        <w:rPr>
          <w:rStyle w:val="hps"/>
          <w:lang w:val="fr-FR"/>
        </w:rPr>
        <w:t>couvre</w:t>
      </w:r>
      <w:r w:rsidRPr="007B3524">
        <w:rPr>
          <w:lang w:val="fr-FR"/>
        </w:rPr>
        <w:t xml:space="preserve"> </w:t>
      </w:r>
      <w:r w:rsidRPr="007B3524">
        <w:rPr>
          <w:rStyle w:val="hps"/>
          <w:lang w:val="fr-FR"/>
        </w:rPr>
        <w:t>les biens de consommation</w:t>
      </w:r>
      <w:r w:rsidRPr="007B3524">
        <w:rPr>
          <w:lang w:val="fr-FR"/>
        </w:rPr>
        <w:t xml:space="preserve"> </w:t>
      </w:r>
      <w:r w:rsidRPr="007B3524">
        <w:rPr>
          <w:rStyle w:val="hps"/>
          <w:lang w:val="fr-FR"/>
        </w:rPr>
        <w:t>principalement</w:t>
      </w:r>
      <w:r w:rsidRPr="007B3524">
        <w:rPr>
          <w:lang w:val="fr-FR"/>
        </w:rPr>
        <w:t xml:space="preserve"> </w:t>
      </w:r>
      <w:r w:rsidRPr="007B3524">
        <w:rPr>
          <w:rStyle w:val="hps"/>
          <w:lang w:val="fr-FR"/>
        </w:rPr>
        <w:t>finale</w:t>
      </w:r>
      <w:r w:rsidRPr="007B3524">
        <w:rPr>
          <w:lang w:val="fr-FR"/>
        </w:rPr>
        <w:t>.</w:t>
      </w:r>
    </w:p>
    <w:p w:rsidR="0051226C" w:rsidRPr="007B3524" w:rsidRDefault="00820538" w:rsidP="00CA3562">
      <w:pPr>
        <w:pStyle w:val="Titrearticle"/>
        <w:spacing w:before="0" w:after="0"/>
        <w:jc w:val="both"/>
        <w:rPr>
          <w:i w:val="0"/>
          <w:szCs w:val="24"/>
          <w:lang w:val="fr-FR"/>
        </w:rPr>
      </w:pPr>
      <w:r w:rsidRPr="007B3524">
        <w:rPr>
          <w:lang w:val="fr-FR"/>
        </w:rPr>
        <w:t xml:space="preserve"> </w:t>
      </w:r>
      <w:r w:rsidRPr="007B3524">
        <w:rPr>
          <w:lang w:val="fr-FR"/>
        </w:rPr>
        <w:br/>
      </w:r>
      <w:r w:rsidRPr="007B3524">
        <w:rPr>
          <w:rStyle w:val="hps"/>
          <w:lang w:val="fr-FR"/>
        </w:rPr>
        <w:t>3.</w:t>
      </w:r>
      <w:r w:rsidRPr="007B3524">
        <w:rPr>
          <w:lang w:val="fr-FR"/>
        </w:rPr>
        <w:t xml:space="preserve"> </w:t>
      </w:r>
      <w:r w:rsidR="00CA3562" w:rsidRPr="007B3524">
        <w:rPr>
          <w:lang w:val="fr-FR"/>
        </w:rPr>
        <w:t xml:space="preserve">Le </w:t>
      </w:r>
      <w:r w:rsidRPr="007B3524">
        <w:rPr>
          <w:rStyle w:val="hps"/>
          <w:lang w:val="fr-FR"/>
        </w:rPr>
        <w:t>démantèlement</w:t>
      </w:r>
      <w:r w:rsidRPr="007B3524">
        <w:rPr>
          <w:lang w:val="fr-FR"/>
        </w:rPr>
        <w:t xml:space="preserve"> </w:t>
      </w:r>
      <w:r w:rsidRPr="007B3524">
        <w:rPr>
          <w:rStyle w:val="hps"/>
          <w:lang w:val="fr-FR"/>
        </w:rPr>
        <w:t>tarifaire</w:t>
      </w:r>
      <w:r w:rsidRPr="007B3524">
        <w:rPr>
          <w:lang w:val="fr-FR"/>
        </w:rPr>
        <w:t xml:space="preserve"> </w:t>
      </w:r>
      <w:r w:rsidRPr="007B3524">
        <w:rPr>
          <w:rStyle w:val="hps"/>
          <w:lang w:val="fr-FR"/>
        </w:rPr>
        <w:t>est conçu</w:t>
      </w:r>
      <w:r w:rsidRPr="007B3524">
        <w:rPr>
          <w:lang w:val="fr-FR"/>
        </w:rPr>
        <w:t xml:space="preserve"> </w:t>
      </w:r>
      <w:r w:rsidRPr="007B3524">
        <w:rPr>
          <w:rStyle w:val="hps"/>
          <w:lang w:val="fr-FR"/>
        </w:rPr>
        <w:t>de manière à ce</w:t>
      </w:r>
      <w:r w:rsidRPr="007B3524">
        <w:rPr>
          <w:lang w:val="fr-FR"/>
        </w:rPr>
        <w:t xml:space="preserve"> </w:t>
      </w:r>
      <w:r w:rsidRPr="007B3524">
        <w:rPr>
          <w:rStyle w:val="hps"/>
          <w:lang w:val="fr-FR"/>
        </w:rPr>
        <w:t>que la réduction</w:t>
      </w:r>
      <w:r w:rsidRPr="007B3524">
        <w:rPr>
          <w:lang w:val="fr-FR"/>
        </w:rPr>
        <w:t xml:space="preserve"> </w:t>
      </w:r>
      <w:r w:rsidRPr="007B3524">
        <w:rPr>
          <w:rStyle w:val="hps"/>
          <w:lang w:val="fr-FR"/>
        </w:rPr>
        <w:t>progressive</w:t>
      </w:r>
      <w:r w:rsidRPr="007B3524">
        <w:rPr>
          <w:lang w:val="fr-FR"/>
        </w:rPr>
        <w:t xml:space="preserve"> </w:t>
      </w:r>
      <w:r w:rsidRPr="007B3524">
        <w:rPr>
          <w:rStyle w:val="hps"/>
          <w:lang w:val="fr-FR"/>
        </w:rPr>
        <w:t>des droits</w:t>
      </w:r>
      <w:r w:rsidRPr="007B3524">
        <w:rPr>
          <w:lang w:val="fr-FR"/>
        </w:rPr>
        <w:t xml:space="preserve"> </w:t>
      </w:r>
      <w:r w:rsidR="00CA3562" w:rsidRPr="007B3524">
        <w:rPr>
          <w:lang w:val="fr-FR"/>
        </w:rPr>
        <w:t xml:space="preserve">soit conforme à </w:t>
      </w:r>
      <w:r w:rsidRPr="007B3524">
        <w:rPr>
          <w:rStyle w:val="hps"/>
          <w:lang w:val="fr-FR"/>
        </w:rPr>
        <w:t>la structure</w:t>
      </w:r>
      <w:r w:rsidRPr="007B3524">
        <w:rPr>
          <w:lang w:val="fr-FR"/>
        </w:rPr>
        <w:t xml:space="preserve"> </w:t>
      </w:r>
      <w:r w:rsidRPr="007B3524">
        <w:rPr>
          <w:rStyle w:val="hps"/>
          <w:lang w:val="fr-FR"/>
        </w:rPr>
        <w:t>des bandes</w:t>
      </w:r>
      <w:r w:rsidRPr="007B3524">
        <w:rPr>
          <w:lang w:val="fr-FR"/>
        </w:rPr>
        <w:t xml:space="preserve"> </w:t>
      </w:r>
      <w:r w:rsidRPr="007B3524">
        <w:rPr>
          <w:rStyle w:val="hps"/>
          <w:lang w:val="fr-FR"/>
        </w:rPr>
        <w:t>tarifaires</w:t>
      </w:r>
      <w:r w:rsidRPr="007B3524">
        <w:rPr>
          <w:lang w:val="fr-FR"/>
        </w:rPr>
        <w:t xml:space="preserve"> </w:t>
      </w:r>
      <w:r w:rsidR="00CA3562" w:rsidRPr="007B3524">
        <w:rPr>
          <w:lang w:val="fr-FR"/>
        </w:rPr>
        <w:t xml:space="preserve">du </w:t>
      </w:r>
      <w:r w:rsidRPr="007B3524">
        <w:rPr>
          <w:rStyle w:val="hps"/>
          <w:lang w:val="fr-FR"/>
        </w:rPr>
        <w:t>TEC de la CEDEAO</w:t>
      </w:r>
      <w:r w:rsidRPr="007B3524">
        <w:rPr>
          <w:lang w:val="fr-FR"/>
        </w:rPr>
        <w:t xml:space="preserve"> </w:t>
      </w:r>
      <w:r w:rsidRPr="007B3524">
        <w:rPr>
          <w:rStyle w:val="hps"/>
          <w:lang w:val="fr-FR"/>
        </w:rPr>
        <w:t xml:space="preserve">pour les </w:t>
      </w:r>
      <w:r w:rsidR="00CA3562" w:rsidRPr="007B3524">
        <w:rPr>
          <w:rStyle w:val="hps"/>
          <w:lang w:val="fr-FR"/>
        </w:rPr>
        <w:t xml:space="preserve">réductions </w:t>
      </w:r>
      <w:r w:rsidRPr="007B3524">
        <w:rPr>
          <w:rStyle w:val="hps"/>
          <w:lang w:val="fr-FR"/>
        </w:rPr>
        <w:t>intermédiaires</w:t>
      </w:r>
      <w:r w:rsidRPr="007B3524">
        <w:rPr>
          <w:lang w:val="fr-FR"/>
        </w:rPr>
        <w:t>.</w:t>
      </w:r>
    </w:p>
    <w:p w:rsidR="00AD01C9" w:rsidRDefault="00AD01C9" w:rsidP="00D60A4E">
      <w:pPr>
        <w:spacing w:after="0" w:line="240" w:lineRule="auto"/>
        <w:jc w:val="both"/>
        <w:rPr>
          <w:rFonts w:ascii="Times New Roman" w:hAnsi="Times New Roman" w:cs="Times New Roman"/>
          <w:sz w:val="24"/>
          <w:szCs w:val="24"/>
        </w:rPr>
      </w:pPr>
    </w:p>
    <w:p w:rsidR="00AD01C9" w:rsidRDefault="00AD01C9" w:rsidP="00D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est intolérable que l'AO se lie les mains sur la classification des produits à libéraliser dans les groupes A, B, C et D (produits exclus). La seule contrainte que l'AO pourrait à la limite accepter est celle d'ouvrir son marché à 75% de ses importations venant de l'UE mais elle doit conserver toute liberté de modifier, d'une part, le classement des produits dans les 5 bandes </w:t>
      </w:r>
      <w:r w:rsidR="00D74F3D">
        <w:rPr>
          <w:rFonts w:ascii="Times New Roman" w:hAnsi="Times New Roman" w:cs="Times New Roman"/>
          <w:sz w:val="24"/>
          <w:szCs w:val="24"/>
        </w:rPr>
        <w:t xml:space="preserve">du </w:t>
      </w:r>
      <w:r w:rsidR="00D74F3D">
        <w:rPr>
          <w:rFonts w:ascii="Times New Roman" w:hAnsi="Times New Roman" w:cs="Times New Roman"/>
          <w:sz w:val="24"/>
          <w:szCs w:val="24"/>
        </w:rPr>
        <w:lastRenderedPageBreak/>
        <w:t>TEC (</w:t>
      </w:r>
      <w:r>
        <w:rPr>
          <w:rFonts w:ascii="Times New Roman" w:hAnsi="Times New Roman" w:cs="Times New Roman"/>
          <w:sz w:val="24"/>
          <w:szCs w:val="24"/>
        </w:rPr>
        <w:t>0%, 5%, 10%, 20%</w:t>
      </w:r>
      <w:r w:rsidR="00D6545C">
        <w:rPr>
          <w:rFonts w:ascii="Times New Roman" w:hAnsi="Times New Roman" w:cs="Times New Roman"/>
          <w:sz w:val="24"/>
          <w:szCs w:val="24"/>
        </w:rPr>
        <w:t>,</w:t>
      </w:r>
      <w:r>
        <w:rPr>
          <w:rFonts w:ascii="Times New Roman" w:hAnsi="Times New Roman" w:cs="Times New Roman"/>
          <w:sz w:val="24"/>
          <w:szCs w:val="24"/>
        </w:rPr>
        <w:t xml:space="preserve"> 35%) sans avoir à demander la permission à l'UE et, d'autre part, </w:t>
      </w:r>
      <w:r w:rsidR="00D608CA">
        <w:rPr>
          <w:rFonts w:ascii="Times New Roman" w:hAnsi="Times New Roman" w:cs="Times New Roman"/>
          <w:sz w:val="24"/>
          <w:szCs w:val="24"/>
        </w:rPr>
        <w:t>de</w:t>
      </w:r>
      <w:r>
        <w:rPr>
          <w:rFonts w:ascii="Times New Roman" w:hAnsi="Times New Roman" w:cs="Times New Roman"/>
          <w:sz w:val="24"/>
          <w:szCs w:val="24"/>
        </w:rPr>
        <w:t xml:space="preserve"> modifier la liste des produits de la liste d'exclusion dès lors qu'elle </w:t>
      </w:r>
      <w:r w:rsidR="00D608CA">
        <w:rPr>
          <w:rFonts w:ascii="Times New Roman" w:hAnsi="Times New Roman" w:cs="Times New Roman"/>
          <w:sz w:val="24"/>
          <w:szCs w:val="24"/>
        </w:rPr>
        <w:t xml:space="preserve">ne prélève pas de droits de douane sur </w:t>
      </w:r>
      <w:r>
        <w:rPr>
          <w:rFonts w:ascii="Times New Roman" w:hAnsi="Times New Roman" w:cs="Times New Roman"/>
          <w:sz w:val="24"/>
          <w:szCs w:val="24"/>
        </w:rPr>
        <w:t xml:space="preserve">75% de ses importations venant de l'UE. </w:t>
      </w:r>
      <w:r w:rsidR="00532ED4">
        <w:rPr>
          <w:rFonts w:ascii="Times New Roman" w:hAnsi="Times New Roman" w:cs="Times New Roman"/>
          <w:sz w:val="24"/>
          <w:szCs w:val="24"/>
        </w:rPr>
        <w:t>A cet égard on sait que, suite notamment à la lettre conjointe des ministres du commerce ou du développement du Danemark, de France, d'Irlande, des Pays-Bas et du Royaume-Uni en date du 3 décembre 2013</w:t>
      </w:r>
      <w:r w:rsidR="00532ED4">
        <w:rPr>
          <w:rStyle w:val="Appelnotedebasdep"/>
          <w:rFonts w:ascii="Times New Roman" w:hAnsi="Times New Roman" w:cs="Times New Roman"/>
          <w:sz w:val="24"/>
          <w:szCs w:val="24"/>
        </w:rPr>
        <w:footnoteReference w:id="3"/>
      </w:r>
      <w:r w:rsidR="00532ED4">
        <w:rPr>
          <w:rFonts w:ascii="Times New Roman" w:hAnsi="Times New Roman" w:cs="Times New Roman"/>
          <w:sz w:val="24"/>
          <w:szCs w:val="24"/>
        </w:rPr>
        <w:t>, la Commission a accepté finalement une ouverture de 75% des importations de l'AO à ses exportations a</w:t>
      </w:r>
      <w:r w:rsidR="004210DE">
        <w:rPr>
          <w:rFonts w:ascii="Times New Roman" w:hAnsi="Times New Roman" w:cs="Times New Roman"/>
          <w:sz w:val="24"/>
          <w:szCs w:val="24"/>
        </w:rPr>
        <w:t>u</w:t>
      </w:r>
      <w:r w:rsidR="00532ED4">
        <w:rPr>
          <w:rFonts w:ascii="Times New Roman" w:hAnsi="Times New Roman" w:cs="Times New Roman"/>
          <w:sz w:val="24"/>
          <w:szCs w:val="24"/>
        </w:rPr>
        <w:t xml:space="preserve"> lieu des 80% exigés jusque-là. En réalité le texte de l'Accord mont</w:t>
      </w:r>
      <w:r w:rsidR="004210DE">
        <w:rPr>
          <w:rFonts w:ascii="Times New Roman" w:hAnsi="Times New Roman" w:cs="Times New Roman"/>
          <w:sz w:val="24"/>
          <w:szCs w:val="24"/>
        </w:rPr>
        <w:t>r</w:t>
      </w:r>
      <w:r w:rsidR="00532ED4">
        <w:rPr>
          <w:rFonts w:ascii="Times New Roman" w:hAnsi="Times New Roman" w:cs="Times New Roman"/>
          <w:sz w:val="24"/>
          <w:szCs w:val="24"/>
        </w:rPr>
        <w:t>e que la Commission a fait son calcul sur le nombre des lignes tarifaires de l'AO à libéraliser, et le South Centre a montré que cela correspond à une ouverture moyenne de 82% de la valeur des impor</w:t>
      </w:r>
      <w:r w:rsidR="004210DE">
        <w:rPr>
          <w:rFonts w:ascii="Times New Roman" w:hAnsi="Times New Roman" w:cs="Times New Roman"/>
          <w:sz w:val="24"/>
          <w:szCs w:val="24"/>
        </w:rPr>
        <w:t>t</w:t>
      </w:r>
      <w:r w:rsidR="00532ED4">
        <w:rPr>
          <w:rFonts w:ascii="Times New Roman" w:hAnsi="Times New Roman" w:cs="Times New Roman"/>
          <w:sz w:val="24"/>
          <w:szCs w:val="24"/>
        </w:rPr>
        <w:t>ations</w:t>
      </w:r>
      <w:r w:rsidR="00D74F3D">
        <w:rPr>
          <w:rFonts w:ascii="Times New Roman" w:hAnsi="Times New Roman" w:cs="Times New Roman"/>
          <w:sz w:val="24"/>
          <w:szCs w:val="24"/>
        </w:rPr>
        <w:t xml:space="preserve"> et non de 75%</w:t>
      </w:r>
      <w:r w:rsidR="004210DE">
        <w:rPr>
          <w:rFonts w:ascii="Times New Roman" w:hAnsi="Times New Roman" w:cs="Times New Roman"/>
          <w:sz w:val="24"/>
          <w:szCs w:val="24"/>
        </w:rPr>
        <w:t>, allant de 75,3% pour la Côte d'Ivoire à 91,8% pour le Togo</w:t>
      </w:r>
      <w:r w:rsidR="004210DE">
        <w:rPr>
          <w:rStyle w:val="Appelnotedebasdep"/>
          <w:rFonts w:ascii="Times New Roman" w:hAnsi="Times New Roman" w:cs="Times New Roman"/>
          <w:sz w:val="24"/>
          <w:szCs w:val="24"/>
        </w:rPr>
        <w:footnoteReference w:id="4"/>
      </w:r>
      <w:r w:rsidR="004210DE">
        <w:rPr>
          <w:rFonts w:ascii="Times New Roman" w:hAnsi="Times New Roman" w:cs="Times New Roman"/>
          <w:sz w:val="24"/>
          <w:szCs w:val="24"/>
        </w:rPr>
        <w:t>.</w:t>
      </w:r>
      <w:r>
        <w:rPr>
          <w:rFonts w:ascii="Times New Roman" w:hAnsi="Times New Roman" w:cs="Times New Roman"/>
          <w:sz w:val="24"/>
          <w:szCs w:val="24"/>
        </w:rPr>
        <w:t xml:space="preserve"> </w:t>
      </w:r>
      <w:r w:rsidR="00D608CA">
        <w:rPr>
          <w:rFonts w:ascii="Times New Roman" w:hAnsi="Times New Roman" w:cs="Times New Roman"/>
          <w:sz w:val="24"/>
          <w:szCs w:val="24"/>
        </w:rPr>
        <w:t xml:space="preserve">Une véritable gifle non seulement aux Chefs d'Etat d'AO mais aussi aux 5 pays de l'UE ayant fait pression pour réduire le taux d'ouverture de 80% à 75%.  </w:t>
      </w:r>
      <w:r>
        <w:rPr>
          <w:rFonts w:ascii="Times New Roman" w:hAnsi="Times New Roman" w:cs="Times New Roman"/>
          <w:sz w:val="24"/>
          <w:szCs w:val="24"/>
        </w:rPr>
        <w:t xml:space="preserve">    </w:t>
      </w:r>
    </w:p>
    <w:p w:rsidR="005F2731" w:rsidRDefault="005F2731" w:rsidP="00CA3562">
      <w:pPr>
        <w:spacing w:after="0" w:line="240" w:lineRule="auto"/>
        <w:jc w:val="both"/>
        <w:rPr>
          <w:rFonts w:ascii="Times New Roman" w:hAnsi="Times New Roman" w:cs="Times New Roman"/>
          <w:b/>
          <w:noProof/>
          <w:szCs w:val="24"/>
          <w:u w:val="single"/>
        </w:rPr>
      </w:pPr>
    </w:p>
    <w:p w:rsidR="00CA3562" w:rsidRDefault="004210DE" w:rsidP="00CA3562">
      <w:pPr>
        <w:spacing w:after="0" w:line="240" w:lineRule="auto"/>
        <w:jc w:val="both"/>
        <w:rPr>
          <w:rFonts w:ascii="Times New Roman" w:eastAsia="Times New Roman" w:hAnsi="Times New Roman" w:cs="Times New Roman"/>
          <w:sz w:val="24"/>
          <w:szCs w:val="24"/>
          <w:lang w:eastAsia="fr-FR"/>
        </w:rPr>
      </w:pPr>
      <w:r w:rsidRPr="00742046">
        <w:rPr>
          <w:rFonts w:ascii="Times New Roman" w:hAnsi="Times New Roman" w:cs="Times New Roman"/>
          <w:b/>
          <w:noProof/>
          <w:sz w:val="24"/>
          <w:szCs w:val="24"/>
          <w:u w:val="single"/>
        </w:rPr>
        <w:t>3</w:t>
      </w:r>
      <w:r w:rsidR="00145514" w:rsidRPr="00742046">
        <w:rPr>
          <w:rFonts w:ascii="Times New Roman" w:hAnsi="Times New Roman" w:cs="Times New Roman"/>
          <w:b/>
          <w:noProof/>
          <w:sz w:val="24"/>
          <w:szCs w:val="24"/>
          <w:u w:val="single"/>
        </w:rPr>
        <w:t xml:space="preserve">) </w:t>
      </w:r>
      <w:r w:rsidR="005743B7" w:rsidRPr="00742046">
        <w:rPr>
          <w:rFonts w:ascii="Times New Roman" w:hAnsi="Times New Roman" w:cs="Times New Roman"/>
          <w:b/>
          <w:noProof/>
          <w:sz w:val="24"/>
          <w:szCs w:val="24"/>
          <w:u w:val="single"/>
        </w:rPr>
        <w:t>Interdiction d'augmenter les t</w:t>
      </w:r>
      <w:r w:rsidR="00F057B6" w:rsidRPr="00742046">
        <w:rPr>
          <w:rFonts w:ascii="Times New Roman" w:hAnsi="Times New Roman" w:cs="Times New Roman"/>
          <w:b/>
          <w:noProof/>
          <w:sz w:val="24"/>
          <w:szCs w:val="24"/>
          <w:u w:val="single"/>
        </w:rPr>
        <w:t>axes à l'exportation</w:t>
      </w:r>
      <w:r w:rsidR="00F057B6" w:rsidRPr="00742046">
        <w:rPr>
          <w:rFonts w:ascii="Times New Roman" w:hAnsi="Times New Roman" w:cs="Times New Roman"/>
          <w:noProof/>
          <w:sz w:val="24"/>
          <w:szCs w:val="24"/>
        </w:rPr>
        <w:t xml:space="preserve"> : </w:t>
      </w:r>
      <w:r w:rsidR="00424E44" w:rsidRPr="00742046">
        <w:rPr>
          <w:rFonts w:ascii="Times New Roman" w:hAnsi="Times New Roman" w:cs="Times New Roman"/>
          <w:noProof/>
          <w:sz w:val="24"/>
          <w:szCs w:val="24"/>
          <w:u w:val="single"/>
        </w:rPr>
        <w:t xml:space="preserve">Article 13 </w:t>
      </w:r>
      <w:r w:rsidR="00CA3562" w:rsidRPr="00742046">
        <w:rPr>
          <w:rFonts w:ascii="Times New Roman" w:hAnsi="Times New Roman" w:cs="Times New Roman"/>
          <w:noProof/>
          <w:sz w:val="24"/>
          <w:szCs w:val="24"/>
          <w:u w:val="single"/>
        </w:rPr>
        <w:t>Droits et taxes à l'exportation</w:t>
      </w:r>
      <w:r w:rsidR="00424E44" w:rsidRPr="00742046">
        <w:rPr>
          <w:rFonts w:ascii="Times New Roman" w:hAnsi="Times New Roman" w:cs="Times New Roman"/>
          <w:noProof/>
          <w:sz w:val="24"/>
          <w:szCs w:val="24"/>
        </w:rPr>
        <w:t xml:space="preserve"> :</w:t>
      </w:r>
      <w:r w:rsidR="00424E44" w:rsidRPr="00742046">
        <w:rPr>
          <w:b/>
          <w:noProof/>
          <w:sz w:val="24"/>
          <w:szCs w:val="24"/>
        </w:rPr>
        <w:t xml:space="preserve"> </w:t>
      </w:r>
      <w:r w:rsidR="00424E44" w:rsidRPr="00742046">
        <w:rPr>
          <w:rFonts w:ascii="Times New Roman" w:hAnsi="Times New Roman" w:cs="Times New Roman"/>
          <w:i/>
          <w:noProof/>
          <w:sz w:val="24"/>
          <w:szCs w:val="24"/>
        </w:rPr>
        <w:t>"1.</w:t>
      </w:r>
      <w:r w:rsidR="00424E44" w:rsidRPr="00CA3562">
        <w:rPr>
          <w:rFonts w:ascii="Times New Roman" w:hAnsi="Times New Roman" w:cs="Times New Roman"/>
          <w:i/>
          <w:noProof/>
          <w:sz w:val="24"/>
          <w:szCs w:val="24"/>
        </w:rPr>
        <w:t xml:space="preserve"> </w:t>
      </w:r>
      <w:r w:rsidR="00CA3562" w:rsidRPr="00CA3562">
        <w:rPr>
          <w:rFonts w:ascii="Times New Roman" w:hAnsi="Times New Roman" w:cs="Times New Roman"/>
          <w:i/>
          <w:noProof/>
          <w:sz w:val="24"/>
          <w:szCs w:val="24"/>
        </w:rPr>
        <w:t>Aucun</w:t>
      </w:r>
      <w:r w:rsidR="00CA3562" w:rsidRPr="00CA3562">
        <w:rPr>
          <w:rFonts w:ascii="Times New Roman" w:eastAsia="Times New Roman" w:hAnsi="Times New Roman" w:cs="Times New Roman"/>
          <w:i/>
          <w:sz w:val="24"/>
          <w:szCs w:val="24"/>
          <w:lang w:eastAsia="fr-FR"/>
        </w:rPr>
        <w:t xml:space="preserve"> nouveau droit ou aucune taxe à l'exportation ou taxe d'effet équivalent ne seront introduits, ni ceux actuellement appliqués dans les échanges entre les parties ne seront augmentés à partir de la date d'entrée en vigueur du présent accord</w:t>
      </w:r>
      <w:r w:rsidR="00CA3562" w:rsidRPr="00CA3562">
        <w:rPr>
          <w:rFonts w:ascii="Times New Roman" w:eastAsia="Times New Roman" w:hAnsi="Times New Roman" w:cs="Times New Roman"/>
          <w:sz w:val="24"/>
          <w:szCs w:val="24"/>
          <w:lang w:eastAsia="fr-FR"/>
        </w:rPr>
        <w:t xml:space="preserve"> ".</w:t>
      </w:r>
    </w:p>
    <w:p w:rsidR="00CA3562" w:rsidRPr="00CA3562" w:rsidRDefault="00CA3562" w:rsidP="00CA3562">
      <w:pPr>
        <w:spacing w:after="0" w:line="240" w:lineRule="auto"/>
        <w:jc w:val="both"/>
        <w:rPr>
          <w:rFonts w:ascii="Times New Roman" w:eastAsia="Times New Roman" w:hAnsi="Times New Roman" w:cs="Times New Roman"/>
          <w:sz w:val="24"/>
          <w:szCs w:val="24"/>
          <w:lang w:eastAsia="fr-FR"/>
        </w:rPr>
      </w:pPr>
    </w:p>
    <w:p w:rsidR="00424E44" w:rsidRDefault="00424E44" w:rsidP="00D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première critique </w:t>
      </w:r>
      <w:r w:rsidR="004210DE">
        <w:rPr>
          <w:rFonts w:ascii="Times New Roman" w:hAnsi="Times New Roman" w:cs="Times New Roman"/>
          <w:sz w:val="24"/>
          <w:szCs w:val="24"/>
        </w:rPr>
        <w:t>de la section 1</w:t>
      </w:r>
      <w:r w:rsidR="00D6545C">
        <w:rPr>
          <w:rFonts w:ascii="Times New Roman" w:hAnsi="Times New Roman" w:cs="Times New Roman"/>
          <w:sz w:val="24"/>
          <w:szCs w:val="24"/>
        </w:rPr>
        <w:t>.a (forte croissance de la population)</w:t>
      </w:r>
      <w:r w:rsidR="004210DE">
        <w:rPr>
          <w:rFonts w:ascii="Times New Roman" w:hAnsi="Times New Roman" w:cs="Times New Roman"/>
          <w:sz w:val="24"/>
          <w:szCs w:val="24"/>
        </w:rPr>
        <w:t xml:space="preserve"> </w:t>
      </w:r>
      <w:r>
        <w:rPr>
          <w:rFonts w:ascii="Times New Roman" w:hAnsi="Times New Roman" w:cs="Times New Roman"/>
          <w:sz w:val="24"/>
          <w:szCs w:val="24"/>
        </w:rPr>
        <w:t xml:space="preserve">s'applique aussi ici. Et la seconde critique vaut aussi : si la CEDEAO n'augmente ses taxes que sur ses exportations vers les pays tiers ceux-ci </w:t>
      </w:r>
      <w:r w:rsidR="005F2731">
        <w:rPr>
          <w:rFonts w:ascii="Times New Roman" w:hAnsi="Times New Roman" w:cs="Times New Roman"/>
          <w:sz w:val="24"/>
          <w:szCs w:val="24"/>
        </w:rPr>
        <w:t xml:space="preserve">pourraient </w:t>
      </w:r>
      <w:r>
        <w:rPr>
          <w:rFonts w:ascii="Times New Roman" w:hAnsi="Times New Roman" w:cs="Times New Roman"/>
          <w:sz w:val="24"/>
          <w:szCs w:val="24"/>
        </w:rPr>
        <w:t xml:space="preserve">poursuivre la CEDEAO </w:t>
      </w:r>
      <w:r w:rsidR="00827E8E">
        <w:rPr>
          <w:rFonts w:ascii="Times New Roman" w:hAnsi="Times New Roman" w:cs="Times New Roman"/>
          <w:sz w:val="24"/>
          <w:szCs w:val="24"/>
        </w:rPr>
        <w:t>au titre de l'article 1</w:t>
      </w:r>
      <w:r w:rsidR="00827E8E" w:rsidRPr="00827E8E">
        <w:rPr>
          <w:rFonts w:ascii="Times New Roman" w:hAnsi="Times New Roman" w:cs="Times New Roman"/>
          <w:sz w:val="24"/>
          <w:szCs w:val="24"/>
          <w:vertAlign w:val="superscript"/>
        </w:rPr>
        <w:t>er</w:t>
      </w:r>
      <w:r w:rsidR="00827E8E">
        <w:rPr>
          <w:rFonts w:ascii="Times New Roman" w:hAnsi="Times New Roman" w:cs="Times New Roman"/>
          <w:sz w:val="24"/>
          <w:szCs w:val="24"/>
        </w:rPr>
        <w:t xml:space="preserve"> du GATT.</w:t>
      </w:r>
    </w:p>
    <w:p w:rsidR="00D608CA" w:rsidRDefault="00D608CA" w:rsidP="00D60A4E">
      <w:pPr>
        <w:spacing w:after="0" w:line="240" w:lineRule="auto"/>
        <w:jc w:val="both"/>
        <w:rPr>
          <w:rFonts w:ascii="Times New Roman" w:hAnsi="Times New Roman" w:cs="Times New Roman"/>
          <w:sz w:val="24"/>
          <w:szCs w:val="24"/>
        </w:rPr>
      </w:pPr>
    </w:p>
    <w:p w:rsidR="00244CC4" w:rsidRPr="00244CC4" w:rsidRDefault="004210DE" w:rsidP="00C82E83">
      <w:pPr>
        <w:spacing w:after="0" w:line="240" w:lineRule="auto"/>
        <w:jc w:val="both"/>
        <w:rPr>
          <w:rFonts w:ascii="Times New Roman" w:hAnsi="Times New Roman" w:cs="Times New Roman"/>
          <w:sz w:val="24"/>
          <w:szCs w:val="24"/>
        </w:rPr>
      </w:pPr>
      <w:r w:rsidRPr="004210DE">
        <w:rPr>
          <w:rFonts w:ascii="Times New Roman" w:hAnsi="Times New Roman" w:cs="Times New Roman"/>
          <w:b/>
          <w:sz w:val="24"/>
          <w:szCs w:val="24"/>
          <w:u w:val="single"/>
        </w:rPr>
        <w:t>4</w:t>
      </w:r>
      <w:r w:rsidR="00D36D9B" w:rsidRPr="004210DE">
        <w:rPr>
          <w:rFonts w:ascii="Times New Roman" w:hAnsi="Times New Roman" w:cs="Times New Roman"/>
          <w:b/>
          <w:sz w:val="24"/>
          <w:szCs w:val="24"/>
          <w:u w:val="single"/>
        </w:rPr>
        <w:t>) Interdiction des restrictions quantitatives à l'importation</w:t>
      </w:r>
      <w:r w:rsidR="00F057B6">
        <w:rPr>
          <w:rFonts w:ascii="Times New Roman" w:hAnsi="Times New Roman" w:cs="Times New Roman"/>
          <w:sz w:val="24"/>
          <w:szCs w:val="24"/>
        </w:rPr>
        <w:t xml:space="preserve"> : </w:t>
      </w:r>
      <w:r w:rsidR="00D36D9B" w:rsidRPr="00F057B6">
        <w:rPr>
          <w:rFonts w:ascii="Times New Roman" w:hAnsi="Times New Roman" w:cs="Times New Roman"/>
          <w:noProof/>
          <w:sz w:val="24"/>
          <w:szCs w:val="24"/>
          <w:u w:val="single"/>
        </w:rPr>
        <w:t xml:space="preserve">Article 34 </w:t>
      </w:r>
      <w:r w:rsidR="00244CC4" w:rsidRPr="00244CC4">
        <w:rPr>
          <w:rFonts w:ascii="Times New Roman" w:hAnsi="Times New Roman" w:cs="Times New Roman"/>
          <w:noProof/>
          <w:sz w:val="24"/>
          <w:szCs w:val="24"/>
          <w:u w:val="single"/>
        </w:rPr>
        <w:t>I</w:t>
      </w:r>
      <w:r w:rsidR="00244CC4" w:rsidRPr="00244CC4">
        <w:rPr>
          <w:rStyle w:val="hps"/>
          <w:rFonts w:ascii="Times New Roman" w:hAnsi="Times New Roman" w:cs="Times New Roman"/>
          <w:sz w:val="24"/>
          <w:szCs w:val="24"/>
          <w:u w:val="single"/>
        </w:rPr>
        <w:t>nterdiction des restrictions</w:t>
      </w:r>
      <w:r w:rsidR="00244CC4" w:rsidRPr="00244CC4">
        <w:rPr>
          <w:rFonts w:ascii="Times New Roman" w:hAnsi="Times New Roman" w:cs="Times New Roman"/>
          <w:sz w:val="24"/>
          <w:szCs w:val="24"/>
          <w:u w:val="single"/>
        </w:rPr>
        <w:t xml:space="preserve"> </w:t>
      </w:r>
      <w:r w:rsidR="00244CC4" w:rsidRPr="00244CC4">
        <w:rPr>
          <w:rStyle w:val="hps"/>
          <w:rFonts w:ascii="Times New Roman" w:hAnsi="Times New Roman" w:cs="Times New Roman"/>
          <w:sz w:val="24"/>
          <w:szCs w:val="24"/>
          <w:u w:val="single"/>
        </w:rPr>
        <w:t>quantitatives</w:t>
      </w:r>
      <w:r w:rsidR="00244CC4" w:rsidRPr="00244CC4">
        <w:rPr>
          <w:rStyle w:val="hps"/>
          <w:rFonts w:ascii="Times New Roman" w:hAnsi="Times New Roman" w:cs="Times New Roman"/>
          <w:sz w:val="24"/>
          <w:szCs w:val="24"/>
        </w:rPr>
        <w:t xml:space="preserve"> </w:t>
      </w:r>
      <w:r w:rsidR="00244CC4" w:rsidRPr="00244CC4">
        <w:rPr>
          <w:rStyle w:val="hps"/>
          <w:rFonts w:ascii="Times New Roman" w:hAnsi="Times New Roman" w:cs="Times New Roman"/>
          <w:i/>
          <w:sz w:val="24"/>
          <w:szCs w:val="24"/>
        </w:rPr>
        <w:t>A l'</w:t>
      </w:r>
      <w:r w:rsidR="00244CC4" w:rsidRPr="00244CC4">
        <w:rPr>
          <w:rFonts w:ascii="Times New Roman" w:hAnsi="Times New Roman" w:cs="Times New Roman"/>
          <w:i/>
          <w:sz w:val="24"/>
          <w:szCs w:val="24"/>
        </w:rPr>
        <w:t xml:space="preserve">entrée en </w:t>
      </w:r>
      <w:r w:rsidR="00244CC4" w:rsidRPr="00244CC4">
        <w:rPr>
          <w:rStyle w:val="hps"/>
          <w:rFonts w:ascii="Times New Roman" w:hAnsi="Times New Roman" w:cs="Times New Roman"/>
          <w:i/>
          <w:sz w:val="24"/>
          <w:szCs w:val="24"/>
        </w:rPr>
        <w:t>vigueur du présent accord</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toutes les interdictions ou</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restrictions à l'importation</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ou à l'exportation</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affectant le commerce entre</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les</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deux</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parties sont supprimées</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à l'exception</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des</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droits de douane</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et des taxes et</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redevances et autres charges</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visés à l'article</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7</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et</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8 du présent Accord</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sur</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les droits de douane</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indépendamment du fait qu'ils</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sont mis en œuvre</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au moyen de contingents</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 xml:space="preserve">de licences à </w:t>
      </w:r>
      <w:r w:rsidR="00244CC4" w:rsidRPr="00244CC4">
        <w:rPr>
          <w:rFonts w:ascii="Times New Roman" w:hAnsi="Times New Roman" w:cs="Times New Roman"/>
          <w:i/>
          <w:sz w:val="24"/>
          <w:szCs w:val="24"/>
        </w:rPr>
        <w:t xml:space="preserve">l'importation ou à </w:t>
      </w:r>
      <w:r w:rsidR="00244CC4" w:rsidRPr="00244CC4">
        <w:rPr>
          <w:rStyle w:val="hps"/>
          <w:rFonts w:ascii="Times New Roman" w:hAnsi="Times New Roman" w:cs="Times New Roman"/>
          <w:i/>
          <w:sz w:val="24"/>
          <w:szCs w:val="24"/>
        </w:rPr>
        <w:t>l'exportation</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ou</w:t>
      </w:r>
      <w:r w:rsidR="00244CC4" w:rsidRPr="00244CC4">
        <w:rPr>
          <w:rFonts w:ascii="Times New Roman" w:hAnsi="Times New Roman" w:cs="Times New Roman"/>
          <w:i/>
          <w:sz w:val="24"/>
          <w:szCs w:val="24"/>
        </w:rPr>
        <w:t xml:space="preserve"> </w:t>
      </w:r>
      <w:r w:rsidR="00244CC4" w:rsidRPr="00244CC4">
        <w:rPr>
          <w:rStyle w:val="hps"/>
          <w:rFonts w:ascii="Times New Roman" w:hAnsi="Times New Roman" w:cs="Times New Roman"/>
          <w:i/>
          <w:sz w:val="24"/>
          <w:szCs w:val="24"/>
        </w:rPr>
        <w:t>d'autres mesures</w:t>
      </w:r>
      <w:r w:rsidR="00244CC4" w:rsidRPr="00244CC4">
        <w:rPr>
          <w:rFonts w:ascii="Times New Roman" w:hAnsi="Times New Roman" w:cs="Times New Roman"/>
          <w:i/>
          <w:sz w:val="24"/>
          <w:szCs w:val="24"/>
        </w:rPr>
        <w:t xml:space="preserve">. Aucune </w:t>
      </w:r>
      <w:r w:rsidR="00244CC4" w:rsidRPr="00244CC4">
        <w:rPr>
          <w:rStyle w:val="hps"/>
          <w:rFonts w:ascii="Times New Roman" w:hAnsi="Times New Roman" w:cs="Times New Roman"/>
          <w:i/>
          <w:sz w:val="24"/>
          <w:szCs w:val="24"/>
        </w:rPr>
        <w:t>nouvelle mesure</w:t>
      </w:r>
      <w:r w:rsidR="00244CC4" w:rsidRPr="00244CC4">
        <w:rPr>
          <w:rFonts w:ascii="Times New Roman" w:hAnsi="Times New Roman" w:cs="Times New Roman"/>
          <w:i/>
          <w:sz w:val="24"/>
          <w:szCs w:val="24"/>
        </w:rPr>
        <w:t xml:space="preserve"> ne sera </w:t>
      </w:r>
      <w:r w:rsidR="00244CC4" w:rsidRPr="00244CC4">
        <w:rPr>
          <w:rStyle w:val="hps"/>
          <w:rFonts w:ascii="Times New Roman" w:hAnsi="Times New Roman" w:cs="Times New Roman"/>
          <w:i/>
          <w:sz w:val="24"/>
          <w:szCs w:val="24"/>
        </w:rPr>
        <w:t>introduite</w:t>
      </w:r>
      <w:r w:rsidR="00244CC4" w:rsidRPr="00244CC4">
        <w:rPr>
          <w:rFonts w:ascii="Times New Roman" w:hAnsi="Times New Roman" w:cs="Times New Roman"/>
          <w:i/>
          <w:sz w:val="24"/>
          <w:szCs w:val="24"/>
        </w:rPr>
        <w:t>.</w:t>
      </w:r>
    </w:p>
    <w:p w:rsidR="00D608CA" w:rsidRDefault="00D608CA" w:rsidP="00D60A4E">
      <w:pPr>
        <w:spacing w:after="0" w:line="240" w:lineRule="auto"/>
        <w:jc w:val="both"/>
        <w:rPr>
          <w:rFonts w:ascii="Times New Roman" w:hAnsi="Times New Roman" w:cs="Times New Roman"/>
          <w:sz w:val="24"/>
          <w:szCs w:val="24"/>
        </w:rPr>
      </w:pPr>
    </w:p>
    <w:p w:rsidR="00002E9D" w:rsidRDefault="00D36D9B" w:rsidP="00D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Heureusement que l'AO a placé dans la liste des produits exclus de la libéralisation ceux pour lesquels certains Etats membres de la CEDEAO appliquent effectivement des restrictions quantitatives soit totales – comme l'interdiction d'importer de la viande de volailles au Sénégal depuis 2007 – soit saisonnières, comme le font plusieurs Etats sur l'oignon et les pommes de terre</w:t>
      </w:r>
      <w:r w:rsidR="0051226C">
        <w:rPr>
          <w:rFonts w:ascii="Times New Roman" w:hAnsi="Times New Roman" w:cs="Times New Roman"/>
          <w:sz w:val="24"/>
          <w:szCs w:val="24"/>
        </w:rPr>
        <w:t xml:space="preserve">. Mais l'interdiction pourrait être contraignante si l'AO souhaite restreindre à l'avenir l'importation de produits ne figurant pas dans la liste des produits exclus de la libéralisation. </w:t>
      </w:r>
    </w:p>
    <w:p w:rsidR="00002E9D" w:rsidRDefault="00002E9D" w:rsidP="00D60A4E">
      <w:pPr>
        <w:spacing w:after="0" w:line="240" w:lineRule="auto"/>
        <w:jc w:val="both"/>
        <w:rPr>
          <w:rFonts w:ascii="Times New Roman" w:hAnsi="Times New Roman" w:cs="Times New Roman"/>
          <w:sz w:val="24"/>
          <w:szCs w:val="24"/>
        </w:rPr>
      </w:pPr>
    </w:p>
    <w:p w:rsidR="00C82E83" w:rsidRDefault="005F2731" w:rsidP="00D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Pourtant</w:t>
      </w:r>
      <w:r w:rsidR="009E27E7">
        <w:rPr>
          <w:rFonts w:ascii="Times New Roman" w:hAnsi="Times New Roman" w:cs="Times New Roman"/>
          <w:sz w:val="24"/>
          <w:szCs w:val="24"/>
        </w:rPr>
        <w:t xml:space="preserve"> l'UE maintiendra des quotas tarifaires</w:t>
      </w:r>
      <w:r w:rsidR="005D05BD">
        <w:rPr>
          <w:rFonts w:ascii="Times New Roman" w:hAnsi="Times New Roman" w:cs="Times New Roman"/>
          <w:sz w:val="24"/>
          <w:szCs w:val="24"/>
        </w:rPr>
        <w:t xml:space="preserve">, qui sont des restrictions quantitatives à l'importation, </w:t>
      </w:r>
      <w:r w:rsidR="009E27E7">
        <w:rPr>
          <w:rFonts w:ascii="Times New Roman" w:hAnsi="Times New Roman" w:cs="Times New Roman"/>
          <w:sz w:val="24"/>
          <w:szCs w:val="24"/>
        </w:rPr>
        <w:t>sur ses importations venant des pays non PMA d'AO jusqu'au 30 septembre 2015</w:t>
      </w:r>
      <w:r w:rsidR="003512DB">
        <w:rPr>
          <w:rFonts w:ascii="Times New Roman" w:hAnsi="Times New Roman" w:cs="Times New Roman"/>
          <w:sz w:val="24"/>
          <w:szCs w:val="24"/>
        </w:rPr>
        <w:t xml:space="preserve"> </w:t>
      </w:r>
      <w:r w:rsidR="009E27E7">
        <w:rPr>
          <w:rFonts w:ascii="Times New Roman" w:hAnsi="Times New Roman" w:cs="Times New Roman"/>
          <w:sz w:val="24"/>
          <w:szCs w:val="24"/>
        </w:rPr>
        <w:t xml:space="preserve">sur le sucre </w:t>
      </w:r>
      <w:r w:rsidR="003512DB">
        <w:rPr>
          <w:rFonts w:ascii="Times New Roman" w:hAnsi="Times New Roman" w:cs="Times New Roman"/>
          <w:sz w:val="24"/>
          <w:szCs w:val="24"/>
        </w:rPr>
        <w:t xml:space="preserve">et autres produits fortement sucrés. </w:t>
      </w:r>
    </w:p>
    <w:p w:rsidR="00C82E83" w:rsidRDefault="00C82E83" w:rsidP="00D60A4E">
      <w:pPr>
        <w:spacing w:after="0" w:line="240" w:lineRule="auto"/>
        <w:jc w:val="both"/>
        <w:rPr>
          <w:rFonts w:ascii="Times New Roman" w:hAnsi="Times New Roman" w:cs="Times New Roman"/>
          <w:sz w:val="24"/>
          <w:szCs w:val="24"/>
        </w:rPr>
      </w:pPr>
    </w:p>
    <w:p w:rsidR="00625511" w:rsidRDefault="00C82E83" w:rsidP="00D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512DB">
        <w:rPr>
          <w:rFonts w:ascii="Times New Roman" w:hAnsi="Times New Roman" w:cs="Times New Roman"/>
          <w:sz w:val="24"/>
          <w:szCs w:val="24"/>
        </w:rPr>
        <w:t xml:space="preserve">lus largement, </w:t>
      </w:r>
      <w:r w:rsidR="00625511">
        <w:rPr>
          <w:rFonts w:ascii="Times New Roman" w:hAnsi="Times New Roman" w:cs="Times New Roman"/>
          <w:sz w:val="24"/>
          <w:szCs w:val="24"/>
        </w:rPr>
        <w:t>l'UE maintien</w:t>
      </w:r>
      <w:r w:rsidR="00F057B6">
        <w:rPr>
          <w:rFonts w:ascii="Times New Roman" w:hAnsi="Times New Roman" w:cs="Times New Roman"/>
          <w:sz w:val="24"/>
          <w:szCs w:val="24"/>
        </w:rPr>
        <w:t>dra</w:t>
      </w:r>
      <w:r w:rsidR="00625511">
        <w:rPr>
          <w:rFonts w:ascii="Times New Roman" w:hAnsi="Times New Roman" w:cs="Times New Roman"/>
          <w:sz w:val="24"/>
          <w:szCs w:val="24"/>
        </w:rPr>
        <w:t xml:space="preserve"> des restrictions quantitatives camouflées sous d'autres formes, qui limitent ses importations même si ces limites ne s'appliquer</w:t>
      </w:r>
      <w:r w:rsidR="00F057B6">
        <w:rPr>
          <w:rFonts w:ascii="Times New Roman" w:hAnsi="Times New Roman" w:cs="Times New Roman"/>
          <w:sz w:val="24"/>
          <w:szCs w:val="24"/>
        </w:rPr>
        <w:t xml:space="preserve">aient pas </w:t>
      </w:r>
      <w:r w:rsidR="00625511">
        <w:rPr>
          <w:rFonts w:ascii="Times New Roman" w:hAnsi="Times New Roman" w:cs="Times New Roman"/>
          <w:sz w:val="24"/>
          <w:szCs w:val="24"/>
        </w:rPr>
        <w:t>à l'APE AO :</w:t>
      </w:r>
    </w:p>
    <w:p w:rsidR="00B51C88" w:rsidRPr="007B3524" w:rsidRDefault="003512DB" w:rsidP="00B51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512DB">
        <w:rPr>
          <w:rFonts w:ascii="Times New Roman" w:hAnsi="Times New Roman" w:cs="Times New Roman"/>
          <w:sz w:val="24"/>
          <w:szCs w:val="24"/>
        </w:rPr>
        <w:t>Bien qu</w:t>
      </w:r>
      <w:r>
        <w:rPr>
          <w:rFonts w:ascii="Times New Roman" w:hAnsi="Times New Roman" w:cs="Times New Roman"/>
          <w:sz w:val="24"/>
          <w:szCs w:val="24"/>
        </w:rPr>
        <w:t>e</w:t>
      </w:r>
      <w:r w:rsidRPr="003512DB">
        <w:rPr>
          <w:rFonts w:ascii="Times New Roman" w:hAnsi="Times New Roman" w:cs="Times New Roman"/>
          <w:sz w:val="24"/>
          <w:szCs w:val="24"/>
        </w:rPr>
        <w:t xml:space="preserve"> l'</w:t>
      </w:r>
      <w:r>
        <w:rPr>
          <w:rFonts w:ascii="Times New Roman" w:hAnsi="Times New Roman" w:cs="Times New Roman"/>
          <w:sz w:val="24"/>
          <w:szCs w:val="24"/>
        </w:rPr>
        <w:t>article 4 de l'</w:t>
      </w:r>
      <w:r w:rsidRPr="003512DB">
        <w:rPr>
          <w:rFonts w:ascii="Times New Roman" w:hAnsi="Times New Roman" w:cs="Times New Roman"/>
          <w:sz w:val="24"/>
          <w:szCs w:val="24"/>
        </w:rPr>
        <w:t xml:space="preserve">AsA ait interdit de </w:t>
      </w:r>
      <w:r>
        <w:rPr>
          <w:rFonts w:ascii="Times New Roman" w:hAnsi="Times New Roman" w:cs="Times New Roman"/>
          <w:sz w:val="24"/>
          <w:szCs w:val="24"/>
        </w:rPr>
        <w:t>m</w:t>
      </w:r>
      <w:r w:rsidRPr="003512DB">
        <w:rPr>
          <w:rFonts w:ascii="Times New Roman" w:hAnsi="Times New Roman" w:cs="Times New Roman"/>
          <w:sz w:val="24"/>
          <w:szCs w:val="24"/>
        </w:rPr>
        <w:t>ainte</w:t>
      </w:r>
      <w:r>
        <w:rPr>
          <w:rFonts w:ascii="Times New Roman" w:hAnsi="Times New Roman" w:cs="Times New Roman"/>
          <w:sz w:val="24"/>
          <w:szCs w:val="24"/>
        </w:rPr>
        <w:t>n</w:t>
      </w:r>
      <w:r w:rsidRPr="003512DB">
        <w:rPr>
          <w:rFonts w:ascii="Times New Roman" w:hAnsi="Times New Roman" w:cs="Times New Roman"/>
          <w:sz w:val="24"/>
          <w:szCs w:val="24"/>
        </w:rPr>
        <w:t xml:space="preserve">ir </w:t>
      </w:r>
      <w:r>
        <w:rPr>
          <w:rFonts w:ascii="Times New Roman" w:hAnsi="Times New Roman" w:cs="Times New Roman"/>
          <w:sz w:val="24"/>
          <w:szCs w:val="24"/>
        </w:rPr>
        <w:t>des restrictions quantitatives à l'importation</w:t>
      </w:r>
      <w:r w:rsidRPr="003512DB">
        <w:rPr>
          <w:rFonts w:ascii="Times New Roman" w:hAnsi="Times New Roman" w:cs="Times New Roman"/>
          <w:sz w:val="24"/>
          <w:szCs w:val="24"/>
        </w:rPr>
        <w:t xml:space="preserve"> </w:t>
      </w:r>
      <w:r>
        <w:rPr>
          <w:rFonts w:ascii="Times New Roman" w:hAnsi="Times New Roman" w:cs="Times New Roman"/>
          <w:sz w:val="24"/>
          <w:szCs w:val="24"/>
        </w:rPr>
        <w:t>et des prélèvements variables qui sont une forme de protection proche des restrictions quantitatives, l</w:t>
      </w:r>
      <w:r w:rsidRPr="003512DB">
        <w:rPr>
          <w:rFonts w:ascii="Times New Roman" w:hAnsi="Times New Roman" w:cs="Times New Roman"/>
          <w:sz w:val="24"/>
          <w:szCs w:val="24"/>
        </w:rPr>
        <w:t xml:space="preserve">'UE </w:t>
      </w:r>
      <w:r>
        <w:rPr>
          <w:rFonts w:ascii="Times New Roman" w:hAnsi="Times New Roman" w:cs="Times New Roman"/>
          <w:sz w:val="24"/>
          <w:szCs w:val="24"/>
        </w:rPr>
        <w:t>util</w:t>
      </w:r>
      <w:r w:rsidR="00C82E83">
        <w:rPr>
          <w:rFonts w:ascii="Times New Roman" w:hAnsi="Times New Roman" w:cs="Times New Roman"/>
          <w:sz w:val="24"/>
          <w:szCs w:val="24"/>
        </w:rPr>
        <w:t>is</w:t>
      </w:r>
      <w:r>
        <w:rPr>
          <w:rFonts w:ascii="Times New Roman" w:hAnsi="Times New Roman" w:cs="Times New Roman"/>
          <w:sz w:val="24"/>
          <w:szCs w:val="24"/>
        </w:rPr>
        <w:t>e des pré</w:t>
      </w:r>
      <w:r w:rsidR="00C82E83">
        <w:rPr>
          <w:rFonts w:ascii="Times New Roman" w:hAnsi="Times New Roman" w:cs="Times New Roman"/>
          <w:sz w:val="24"/>
          <w:szCs w:val="24"/>
        </w:rPr>
        <w:t>lève</w:t>
      </w:r>
      <w:r>
        <w:rPr>
          <w:rFonts w:ascii="Times New Roman" w:hAnsi="Times New Roman" w:cs="Times New Roman"/>
          <w:sz w:val="24"/>
          <w:szCs w:val="24"/>
        </w:rPr>
        <w:t>me</w:t>
      </w:r>
      <w:r w:rsidR="00C82E83">
        <w:rPr>
          <w:rFonts w:ascii="Times New Roman" w:hAnsi="Times New Roman" w:cs="Times New Roman"/>
          <w:sz w:val="24"/>
          <w:szCs w:val="24"/>
        </w:rPr>
        <w:t>n</w:t>
      </w:r>
      <w:r>
        <w:rPr>
          <w:rFonts w:ascii="Times New Roman" w:hAnsi="Times New Roman" w:cs="Times New Roman"/>
          <w:sz w:val="24"/>
          <w:szCs w:val="24"/>
        </w:rPr>
        <w:t>ts</w:t>
      </w:r>
      <w:r w:rsidR="00C82E83">
        <w:rPr>
          <w:rFonts w:ascii="Times New Roman" w:hAnsi="Times New Roman" w:cs="Times New Roman"/>
          <w:sz w:val="24"/>
          <w:szCs w:val="24"/>
        </w:rPr>
        <w:t xml:space="preserve"> </w:t>
      </w:r>
      <w:r>
        <w:rPr>
          <w:rFonts w:ascii="Times New Roman" w:hAnsi="Times New Roman" w:cs="Times New Roman"/>
          <w:sz w:val="24"/>
          <w:szCs w:val="24"/>
        </w:rPr>
        <w:t>variables pour ses céré</w:t>
      </w:r>
      <w:r w:rsidR="00C82E83">
        <w:rPr>
          <w:rFonts w:ascii="Times New Roman" w:hAnsi="Times New Roman" w:cs="Times New Roman"/>
          <w:sz w:val="24"/>
          <w:szCs w:val="24"/>
        </w:rPr>
        <w:t>a</w:t>
      </w:r>
      <w:r>
        <w:rPr>
          <w:rFonts w:ascii="Times New Roman" w:hAnsi="Times New Roman" w:cs="Times New Roman"/>
          <w:sz w:val="24"/>
          <w:szCs w:val="24"/>
        </w:rPr>
        <w:t xml:space="preserve">les et </w:t>
      </w:r>
      <w:r w:rsidR="00C82E83">
        <w:rPr>
          <w:rFonts w:ascii="Times New Roman" w:hAnsi="Times New Roman" w:cs="Times New Roman"/>
          <w:sz w:val="24"/>
          <w:szCs w:val="24"/>
        </w:rPr>
        <w:t>d</w:t>
      </w:r>
      <w:r>
        <w:rPr>
          <w:rFonts w:ascii="Times New Roman" w:hAnsi="Times New Roman" w:cs="Times New Roman"/>
          <w:sz w:val="24"/>
          <w:szCs w:val="24"/>
        </w:rPr>
        <w:t>e nombreux fruits et légumes frais</w:t>
      </w:r>
      <w:r w:rsidR="00B51C88">
        <w:rPr>
          <w:rFonts w:ascii="Times New Roman" w:hAnsi="Times New Roman" w:cs="Times New Roman"/>
          <w:sz w:val="24"/>
          <w:szCs w:val="24"/>
        </w:rPr>
        <w:t>: quand le prix d'entrée est inférieur au prix de déclenchement l'importateur doit payer</w:t>
      </w:r>
      <w:r w:rsidR="00B51C88" w:rsidRPr="007B3524">
        <w:rPr>
          <w:rFonts w:ascii="Times New Roman" w:hAnsi="Times New Roman" w:cs="Times New Roman"/>
          <w:bCs/>
          <w:sz w:val="24"/>
          <w:szCs w:val="24"/>
        </w:rPr>
        <w:t xml:space="preserve">, outre le droit </w:t>
      </w:r>
      <w:r w:rsidR="00B51C88" w:rsidRPr="007B3524">
        <w:rPr>
          <w:rFonts w:ascii="Times New Roman" w:hAnsi="Times New Roman" w:cs="Times New Roman"/>
          <w:bCs/>
          <w:i/>
          <w:iCs/>
          <w:sz w:val="24"/>
          <w:szCs w:val="24"/>
        </w:rPr>
        <w:t>ad valorem</w:t>
      </w:r>
      <w:r w:rsidR="00B51C88" w:rsidRPr="007B3524">
        <w:rPr>
          <w:rFonts w:ascii="Times New Roman" w:hAnsi="Times New Roman" w:cs="Times New Roman"/>
          <w:bCs/>
          <w:sz w:val="24"/>
          <w:szCs w:val="24"/>
        </w:rPr>
        <w:t xml:space="preserve">, un droit spécifique calculé comme l'écart entre le prix d'entrée et le prix de déclenchement. De plus, quand le prix d'entrée est inférieur à 92% du prix de déclenchement le droit spécifique dépasse de beaucoup cet écart. Par exemple pour les tomates importées d'octobre à mars, l'équivalent </w:t>
      </w:r>
      <w:r w:rsidR="00B51C88" w:rsidRPr="007B3524">
        <w:rPr>
          <w:rFonts w:ascii="Times New Roman" w:hAnsi="Times New Roman" w:cs="Times New Roman"/>
          <w:bCs/>
          <w:i/>
          <w:iCs/>
          <w:sz w:val="24"/>
          <w:szCs w:val="24"/>
        </w:rPr>
        <w:t>ad valorem</w:t>
      </w:r>
      <w:r w:rsidR="00B51C88" w:rsidRPr="007B3524">
        <w:rPr>
          <w:rFonts w:ascii="Times New Roman" w:hAnsi="Times New Roman" w:cs="Times New Roman"/>
          <w:bCs/>
          <w:sz w:val="24"/>
          <w:szCs w:val="24"/>
        </w:rPr>
        <w:t xml:space="preserve"> va de 8,8% à 73,4% quand le prix d'entrée dépasse le prix de déclenchement ou est inférieur à 92% de ce prix</w:t>
      </w:r>
      <w:r w:rsidR="00B51C88">
        <w:rPr>
          <w:rStyle w:val="Appelnotedebasdep"/>
          <w:rFonts w:ascii="Times New Roman" w:hAnsi="Times New Roman" w:cs="Times New Roman"/>
          <w:bCs/>
          <w:sz w:val="24"/>
          <w:szCs w:val="24"/>
          <w:lang w:val="en-GB"/>
        </w:rPr>
        <w:footnoteReference w:id="5"/>
      </w:r>
      <w:r w:rsidR="00B51C88" w:rsidRPr="007B3524">
        <w:rPr>
          <w:rFonts w:ascii="Times New Roman" w:hAnsi="Times New Roman" w:cs="Times New Roman"/>
          <w:bCs/>
          <w:sz w:val="24"/>
          <w:szCs w:val="24"/>
        </w:rPr>
        <w:t>. Pourtant l'UE n'a pas été poursuivi à l'OMC sur ce sujet.</w:t>
      </w:r>
    </w:p>
    <w:p w:rsidR="00C82E83" w:rsidRDefault="00B51C88" w:rsidP="003512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02E9D" w:rsidRDefault="00C82E83" w:rsidP="00D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45,8% des lignes tarifaires (LT) </w:t>
      </w:r>
      <w:r w:rsidRPr="00CE15E7">
        <w:rPr>
          <w:rFonts w:ascii="Times New Roman" w:hAnsi="Times New Roman" w:cs="Times New Roman"/>
          <w:bCs/>
          <w:sz w:val="24"/>
          <w:szCs w:val="24"/>
        </w:rPr>
        <w:t xml:space="preserve">agricoles </w:t>
      </w:r>
      <w:r>
        <w:rPr>
          <w:rFonts w:ascii="Times New Roman" w:hAnsi="Times New Roman" w:cs="Times New Roman"/>
          <w:bCs/>
          <w:sz w:val="24"/>
          <w:szCs w:val="24"/>
        </w:rPr>
        <w:t xml:space="preserve">ne l'UE ne sont pas des DD </w:t>
      </w:r>
      <w:r w:rsidRPr="00CE15E7">
        <w:rPr>
          <w:rFonts w:ascii="Times New Roman" w:hAnsi="Times New Roman" w:cs="Times New Roman"/>
          <w:bCs/>
          <w:i/>
          <w:iCs/>
          <w:sz w:val="24"/>
          <w:szCs w:val="24"/>
        </w:rPr>
        <w:t>ad valorem</w:t>
      </w:r>
      <w:r w:rsidRPr="00CE15E7">
        <w:rPr>
          <w:rFonts w:ascii="Times New Roman" w:hAnsi="Times New Roman" w:cs="Times New Roman"/>
          <w:bCs/>
          <w:sz w:val="24"/>
          <w:szCs w:val="24"/>
        </w:rPr>
        <w:t xml:space="preserve"> </w:t>
      </w:r>
      <w:r>
        <w:rPr>
          <w:rFonts w:ascii="Times New Roman" w:hAnsi="Times New Roman" w:cs="Times New Roman"/>
          <w:bCs/>
          <w:sz w:val="24"/>
          <w:szCs w:val="24"/>
        </w:rPr>
        <w:t xml:space="preserve">mais sont soit des DD spécifiques (x euros par tonne) soit des DD complexes (DD spécifiques plus </w:t>
      </w:r>
      <w:r w:rsidRPr="00C82E83">
        <w:rPr>
          <w:rFonts w:ascii="Times New Roman" w:hAnsi="Times New Roman" w:cs="Times New Roman"/>
          <w:bCs/>
          <w:i/>
          <w:sz w:val="24"/>
          <w:szCs w:val="24"/>
        </w:rPr>
        <w:t>ad valorem</w:t>
      </w:r>
      <w:r>
        <w:rPr>
          <w:rFonts w:ascii="Times New Roman" w:hAnsi="Times New Roman" w:cs="Times New Roman"/>
          <w:bCs/>
          <w:sz w:val="24"/>
          <w:szCs w:val="24"/>
        </w:rPr>
        <w:t xml:space="preserve">) et </w:t>
      </w:r>
      <w:r w:rsidRPr="00CE15E7">
        <w:rPr>
          <w:rFonts w:ascii="Times New Roman" w:hAnsi="Times New Roman" w:cs="Times New Roman"/>
          <w:bCs/>
          <w:sz w:val="24"/>
          <w:szCs w:val="24"/>
        </w:rPr>
        <w:t>le pourcentage de</w:t>
      </w:r>
      <w:r>
        <w:rPr>
          <w:rFonts w:ascii="Times New Roman" w:hAnsi="Times New Roman" w:cs="Times New Roman"/>
          <w:bCs/>
          <w:sz w:val="24"/>
          <w:szCs w:val="24"/>
        </w:rPr>
        <w:t xml:space="preserve"> se</w:t>
      </w:r>
      <w:r w:rsidRPr="00CE15E7">
        <w:rPr>
          <w:rFonts w:ascii="Times New Roman" w:hAnsi="Times New Roman" w:cs="Times New Roman"/>
          <w:bCs/>
          <w:sz w:val="24"/>
          <w:szCs w:val="24"/>
        </w:rPr>
        <w:t xml:space="preserve">s DD non </w:t>
      </w:r>
      <w:r w:rsidRPr="00CE15E7">
        <w:rPr>
          <w:rFonts w:ascii="Times New Roman" w:hAnsi="Times New Roman" w:cs="Times New Roman"/>
          <w:bCs/>
          <w:i/>
          <w:sz w:val="24"/>
          <w:szCs w:val="24"/>
        </w:rPr>
        <w:t>ad valorem</w:t>
      </w:r>
      <w:r w:rsidRPr="00CE15E7">
        <w:rPr>
          <w:rFonts w:ascii="Times New Roman" w:hAnsi="Times New Roman" w:cs="Times New Roman"/>
          <w:bCs/>
          <w:sz w:val="24"/>
          <w:szCs w:val="24"/>
        </w:rPr>
        <w:t xml:space="preserve"> est d'autant plus élevé que l'on se situe dans les bandes aux DD les plus élevés : 99 des 100 lignes de la bande supérieure à 90%, 113 des 115 lignes de la bande de 60 à 90%, 227 des 274 lignes de la bande de 30 à 60% mais 509 des 1288 lignes de la bande de 0 à 30%. </w:t>
      </w:r>
      <w:r>
        <w:rPr>
          <w:rFonts w:ascii="Times New Roman" w:hAnsi="Times New Roman" w:cs="Times New Roman"/>
          <w:bCs/>
          <w:sz w:val="24"/>
          <w:szCs w:val="24"/>
        </w:rPr>
        <w:t>Or le DD spécifique aboutit à une restriction quantitative puisque ce DD est indépendant du niveau du prix CAF à l'importation.</w:t>
      </w:r>
    </w:p>
    <w:p w:rsidR="0051226C" w:rsidRDefault="0051226C" w:rsidP="00D60A4E">
      <w:pPr>
        <w:spacing w:after="0" w:line="240" w:lineRule="auto"/>
        <w:jc w:val="both"/>
        <w:rPr>
          <w:rFonts w:ascii="Times New Roman" w:hAnsi="Times New Roman" w:cs="Times New Roman"/>
          <w:sz w:val="24"/>
          <w:szCs w:val="24"/>
        </w:rPr>
      </w:pPr>
    </w:p>
    <w:p w:rsidR="00F53E53" w:rsidRPr="00820538" w:rsidRDefault="004210DE" w:rsidP="00F53E53">
      <w:pPr>
        <w:spacing w:after="0" w:line="240" w:lineRule="auto"/>
        <w:jc w:val="both"/>
        <w:rPr>
          <w:rFonts w:ascii="Times New Roman" w:eastAsia="Times New Roman" w:hAnsi="Times New Roman" w:cs="Times New Roman"/>
          <w:i/>
          <w:sz w:val="24"/>
          <w:szCs w:val="24"/>
          <w:lang w:eastAsia="fr-FR"/>
        </w:rPr>
      </w:pPr>
      <w:r w:rsidRPr="004210DE">
        <w:rPr>
          <w:rFonts w:ascii="Times New Roman" w:hAnsi="Times New Roman" w:cs="Times New Roman"/>
          <w:b/>
          <w:sz w:val="24"/>
          <w:szCs w:val="24"/>
          <w:u w:val="single"/>
        </w:rPr>
        <w:t>5</w:t>
      </w:r>
      <w:r w:rsidR="00145514" w:rsidRPr="004210DE">
        <w:rPr>
          <w:rFonts w:ascii="Times New Roman" w:hAnsi="Times New Roman" w:cs="Times New Roman"/>
          <w:b/>
          <w:sz w:val="24"/>
          <w:szCs w:val="24"/>
          <w:u w:val="single"/>
        </w:rPr>
        <w:t xml:space="preserve">) Les mesures de sauvegarde </w:t>
      </w:r>
      <w:r w:rsidR="00820538">
        <w:rPr>
          <w:rFonts w:ascii="Times New Roman" w:hAnsi="Times New Roman" w:cs="Times New Roman"/>
          <w:b/>
          <w:sz w:val="24"/>
          <w:szCs w:val="24"/>
          <w:u w:val="single"/>
        </w:rPr>
        <w:t xml:space="preserve">de l'APE </w:t>
      </w:r>
      <w:r w:rsidR="00145514" w:rsidRPr="004210DE">
        <w:rPr>
          <w:rFonts w:ascii="Times New Roman" w:hAnsi="Times New Roman" w:cs="Times New Roman"/>
          <w:b/>
          <w:sz w:val="24"/>
          <w:szCs w:val="24"/>
          <w:u w:val="single"/>
        </w:rPr>
        <w:t>sont bien trop faibles et ne devraient pas être inférieures à celles dont dispose l'UE</w:t>
      </w:r>
      <w:r w:rsidR="00F057B6" w:rsidRPr="00F057B6">
        <w:rPr>
          <w:rFonts w:ascii="Times New Roman" w:hAnsi="Times New Roman" w:cs="Times New Roman"/>
          <w:sz w:val="24"/>
          <w:szCs w:val="24"/>
        </w:rPr>
        <w:t xml:space="preserve"> : </w:t>
      </w:r>
      <w:r w:rsidR="00F53E53" w:rsidRPr="00F53E53">
        <w:rPr>
          <w:rFonts w:ascii="Times New Roman" w:hAnsi="Times New Roman" w:cs="Times New Roman"/>
          <w:sz w:val="24"/>
          <w:szCs w:val="24"/>
          <w:u w:val="single"/>
        </w:rPr>
        <w:t xml:space="preserve">Article </w:t>
      </w:r>
      <w:r w:rsidR="00F53E53" w:rsidRPr="00F53E53">
        <w:rPr>
          <w:rFonts w:ascii="Times New Roman" w:eastAsia="Times New Roman" w:hAnsi="Times New Roman" w:cs="Times New Roman"/>
          <w:sz w:val="24"/>
          <w:szCs w:val="24"/>
          <w:u w:val="single"/>
          <w:lang w:eastAsia="fr-FR"/>
        </w:rPr>
        <w:t>22 mesures de sauvegarde bilatérales</w:t>
      </w:r>
      <w:r w:rsidR="00F53E53" w:rsidRPr="00F53E53">
        <w:rPr>
          <w:rFonts w:ascii="Times New Roman" w:eastAsia="Times New Roman" w:hAnsi="Times New Roman" w:cs="Times New Roman"/>
          <w:sz w:val="24"/>
          <w:szCs w:val="24"/>
          <w:lang w:eastAsia="fr-FR"/>
        </w:rPr>
        <w:t xml:space="preserve">... </w:t>
      </w:r>
      <w:r w:rsidR="00F53E53" w:rsidRPr="00F53E53">
        <w:rPr>
          <w:rFonts w:ascii="Times New Roman" w:eastAsia="Times New Roman" w:hAnsi="Times New Roman" w:cs="Times New Roman"/>
          <w:sz w:val="24"/>
          <w:szCs w:val="24"/>
          <w:lang w:eastAsia="fr-FR"/>
        </w:rPr>
        <w:br/>
      </w:r>
      <w:r w:rsidR="00F53E53" w:rsidRPr="00820538">
        <w:rPr>
          <w:rFonts w:ascii="Times New Roman" w:eastAsia="Times New Roman" w:hAnsi="Times New Roman" w:cs="Times New Roman"/>
          <w:i/>
          <w:sz w:val="24"/>
          <w:szCs w:val="24"/>
          <w:lang w:eastAsia="fr-FR"/>
        </w:rPr>
        <w:t>3 Les mesures de sauvegarde visées au présent article ne doivent pas dépasser ce qui est strictement nécessaire pour prévenir ou réparer un dommage grave ou les perturbations tels que définis aux paragraphes 2, 4 et 5. Ces mesures de sauvegarde de la partie importatrice ne peuvent consister qu'en une ou plusieurs des mesures suivantes:</w:t>
      </w:r>
    </w:p>
    <w:p w:rsidR="00F53E53" w:rsidRPr="00820538" w:rsidRDefault="00F53E53" w:rsidP="00F53E53">
      <w:pPr>
        <w:spacing w:after="0" w:line="240" w:lineRule="auto"/>
        <w:jc w:val="both"/>
        <w:rPr>
          <w:rFonts w:ascii="Times New Roman" w:eastAsia="Times New Roman" w:hAnsi="Times New Roman" w:cs="Times New Roman"/>
          <w:i/>
          <w:sz w:val="24"/>
          <w:szCs w:val="24"/>
          <w:lang w:eastAsia="fr-FR"/>
        </w:rPr>
      </w:pPr>
      <w:r w:rsidRPr="00820538">
        <w:rPr>
          <w:rFonts w:ascii="Times New Roman" w:eastAsia="Times New Roman" w:hAnsi="Times New Roman" w:cs="Times New Roman"/>
          <w:i/>
          <w:sz w:val="24"/>
          <w:szCs w:val="24"/>
          <w:lang w:eastAsia="fr-FR"/>
        </w:rPr>
        <w:t>a) suspension de toute nouvelle réduction du droit de douane à l'importation applicable pour le produit concerné, comme prévu par le présent accord;</w:t>
      </w:r>
    </w:p>
    <w:p w:rsidR="00F53E53" w:rsidRPr="00820538" w:rsidRDefault="00F53E53" w:rsidP="00F53E53">
      <w:pPr>
        <w:spacing w:after="0" w:line="240" w:lineRule="auto"/>
        <w:jc w:val="both"/>
        <w:rPr>
          <w:rFonts w:ascii="Times New Roman" w:eastAsia="Times New Roman" w:hAnsi="Times New Roman" w:cs="Times New Roman"/>
          <w:i/>
          <w:sz w:val="24"/>
          <w:szCs w:val="24"/>
          <w:lang w:eastAsia="fr-FR"/>
        </w:rPr>
      </w:pPr>
      <w:r w:rsidRPr="00820538">
        <w:rPr>
          <w:rFonts w:ascii="Times New Roman" w:eastAsia="Times New Roman" w:hAnsi="Times New Roman" w:cs="Times New Roman"/>
          <w:i/>
          <w:sz w:val="24"/>
          <w:szCs w:val="24"/>
          <w:lang w:eastAsia="fr-FR"/>
        </w:rPr>
        <w:t>b) augmentation du droit de douane sur le produit concerné jusqu'à un niveau qui ne dépasse pas le droit de douane appliqué à d'autres Membres de l'OMC; et</w:t>
      </w:r>
    </w:p>
    <w:p w:rsidR="00F53E53" w:rsidRPr="00820538" w:rsidRDefault="00F53E53" w:rsidP="00F53E53">
      <w:pPr>
        <w:spacing w:after="0" w:line="240" w:lineRule="auto"/>
        <w:jc w:val="both"/>
        <w:rPr>
          <w:rFonts w:ascii="Times New Roman" w:eastAsia="Times New Roman" w:hAnsi="Times New Roman" w:cs="Times New Roman"/>
          <w:i/>
          <w:sz w:val="24"/>
          <w:szCs w:val="24"/>
          <w:lang w:eastAsia="fr-FR"/>
        </w:rPr>
      </w:pPr>
      <w:r w:rsidRPr="00820538">
        <w:rPr>
          <w:rFonts w:ascii="Times New Roman" w:eastAsia="Times New Roman" w:hAnsi="Times New Roman" w:cs="Times New Roman"/>
          <w:i/>
          <w:sz w:val="24"/>
          <w:szCs w:val="24"/>
          <w:lang w:eastAsia="fr-FR"/>
        </w:rPr>
        <w:t>c) mise en place de contingents tarifaires sur le produit concerné.</w:t>
      </w:r>
    </w:p>
    <w:p w:rsidR="00F53E53" w:rsidRPr="00820538" w:rsidRDefault="00F53E53" w:rsidP="00F53E53">
      <w:pPr>
        <w:spacing w:after="0" w:line="240" w:lineRule="auto"/>
        <w:jc w:val="both"/>
        <w:rPr>
          <w:rFonts w:ascii="Times New Roman" w:eastAsia="Times New Roman" w:hAnsi="Times New Roman" w:cs="Times New Roman"/>
          <w:i/>
          <w:sz w:val="24"/>
          <w:szCs w:val="24"/>
          <w:lang w:eastAsia="fr-FR"/>
        </w:rPr>
      </w:pPr>
      <w:r w:rsidRPr="00820538">
        <w:rPr>
          <w:rFonts w:ascii="Times New Roman" w:eastAsia="Times New Roman" w:hAnsi="Times New Roman" w:cs="Times New Roman"/>
          <w:i/>
          <w:sz w:val="24"/>
          <w:szCs w:val="24"/>
          <w:lang w:eastAsia="fr-FR"/>
        </w:rPr>
        <w:t xml:space="preserve"> 5 Nonobstant les paragraphes 1 à 3 du présent article, lorsqu'un produit originaire d'un ou de plusieurs États de la partie Union européenne est importé en quantités tellement accrues et à des conditions telles qu'il cause ou menace de causer l'une des situations décrites ci-dessus dans les paragraphes 2 (a), (b) et (c) dans un ou plusieurs États de la partie Région Afrique de l'Ouest, l'État ou les États en question peuvent prendre des mesures de surveillance ou de sauvegarde, limitées au territoire de l'État ou des États concernés conformément à la procédure définie aux paragraphes 6 à 11 du présent article. </w:t>
      </w:r>
    </w:p>
    <w:p w:rsidR="00F53E53" w:rsidRPr="00820538" w:rsidRDefault="00F53E53" w:rsidP="00F53E53">
      <w:pPr>
        <w:spacing w:after="0" w:line="240" w:lineRule="auto"/>
        <w:jc w:val="both"/>
        <w:rPr>
          <w:rFonts w:ascii="Times New Roman" w:eastAsia="Times New Roman" w:hAnsi="Times New Roman" w:cs="Times New Roman"/>
          <w:i/>
          <w:sz w:val="24"/>
          <w:szCs w:val="24"/>
          <w:lang w:eastAsia="fr-FR"/>
        </w:rPr>
      </w:pPr>
    </w:p>
    <w:p w:rsidR="00F53E53" w:rsidRPr="00820538" w:rsidRDefault="00F53E53" w:rsidP="00F53E53">
      <w:pPr>
        <w:spacing w:after="0" w:line="240" w:lineRule="auto"/>
        <w:jc w:val="both"/>
        <w:rPr>
          <w:rFonts w:ascii="Times New Roman" w:eastAsia="Times New Roman" w:hAnsi="Times New Roman" w:cs="Times New Roman"/>
          <w:i/>
          <w:sz w:val="24"/>
          <w:szCs w:val="24"/>
          <w:lang w:eastAsia="fr-FR"/>
        </w:rPr>
      </w:pPr>
      <w:r w:rsidRPr="00820538">
        <w:rPr>
          <w:rFonts w:ascii="Times New Roman" w:eastAsia="Times New Roman" w:hAnsi="Times New Roman" w:cs="Times New Roman"/>
          <w:i/>
          <w:sz w:val="24"/>
          <w:szCs w:val="24"/>
          <w:lang w:eastAsia="fr-FR"/>
        </w:rPr>
        <w:t xml:space="preserve">7 Les mesures de sauvegarde visées au présent article doivent être appliquées pour une période n'excédant pas quatre (4) ans. Si les circonstances justifiant l'imposition de mesures de sauvegarde perdurent, ces mesures peuvent être prolongées pour une nouvelle période de quatre (4) ans. </w:t>
      </w:r>
    </w:p>
    <w:p w:rsidR="00F53E53" w:rsidRPr="00820538" w:rsidRDefault="00F53E53" w:rsidP="00F53E53">
      <w:pPr>
        <w:spacing w:after="0" w:line="240" w:lineRule="auto"/>
        <w:jc w:val="both"/>
        <w:rPr>
          <w:rFonts w:ascii="Times New Roman" w:eastAsia="Times New Roman" w:hAnsi="Times New Roman" w:cs="Times New Roman"/>
          <w:sz w:val="24"/>
          <w:szCs w:val="24"/>
          <w:lang w:eastAsia="fr-FR"/>
        </w:rPr>
      </w:pPr>
      <w:r w:rsidRPr="00820538">
        <w:rPr>
          <w:rFonts w:ascii="Times New Roman" w:eastAsia="Times New Roman" w:hAnsi="Times New Roman" w:cs="Times New Roman"/>
          <w:i/>
          <w:sz w:val="24"/>
          <w:szCs w:val="24"/>
          <w:lang w:eastAsia="fr-FR"/>
        </w:rPr>
        <w:br/>
        <w:t xml:space="preserve">9 Sauf dans des circonstances exceptionnelles et moyennant l'approbation du Comité de mise en œuvre conjointe de l'APE, aucune mesure de sauvegarde visée au présent article ne </w:t>
      </w:r>
      <w:r w:rsidRPr="00820538">
        <w:rPr>
          <w:rFonts w:ascii="Times New Roman" w:eastAsia="Times New Roman" w:hAnsi="Times New Roman" w:cs="Times New Roman"/>
          <w:i/>
          <w:sz w:val="24"/>
          <w:szCs w:val="24"/>
          <w:lang w:eastAsia="fr-FR"/>
        </w:rPr>
        <w:lastRenderedPageBreak/>
        <w:t>s'applique à un produit qui a déjà fait l'objet d'une telle mesure pour une période d'au moins un (1) an à compter de la date d'expiration de cette mesure.</w:t>
      </w:r>
      <w:r w:rsidR="00820538">
        <w:rPr>
          <w:rFonts w:ascii="Times New Roman" w:eastAsia="Times New Roman" w:hAnsi="Times New Roman" w:cs="Times New Roman"/>
          <w:sz w:val="24"/>
          <w:szCs w:val="24"/>
          <w:lang w:eastAsia="fr-FR"/>
        </w:rPr>
        <w:t>"</w:t>
      </w:r>
    </w:p>
    <w:p w:rsidR="00F53E53" w:rsidRPr="00F53E53" w:rsidRDefault="00F53E53" w:rsidP="00F53E53">
      <w:pPr>
        <w:spacing w:after="0" w:line="240" w:lineRule="auto"/>
        <w:jc w:val="both"/>
        <w:rPr>
          <w:rFonts w:ascii="Times New Roman" w:eastAsia="Times New Roman" w:hAnsi="Times New Roman" w:cs="Times New Roman"/>
          <w:sz w:val="24"/>
          <w:szCs w:val="24"/>
          <w:lang w:eastAsia="fr-FR"/>
        </w:rPr>
      </w:pPr>
    </w:p>
    <w:p w:rsidR="00883D68" w:rsidRDefault="00883D68" w:rsidP="006D7EE1">
      <w:pPr>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Disposer de mesures de sauvegarde efficaces est d'autant plus important que, d'une part, les DD du TEC sont particulièrement faibles sur certains produits alimentaires de base comme les céréales </w:t>
      </w:r>
      <w:r w:rsidR="007C7E1C">
        <w:rPr>
          <w:rFonts w:ascii="Times New Roman" w:hAnsi="Times New Roman" w:cs="Times New Roman"/>
          <w:sz w:val="24"/>
          <w:szCs w:val="24"/>
        </w:rPr>
        <w:t xml:space="preserve">(5% </w:t>
      </w:r>
      <w:r w:rsidR="005D05BD">
        <w:rPr>
          <w:rFonts w:ascii="Times New Roman" w:hAnsi="Times New Roman" w:cs="Times New Roman"/>
          <w:sz w:val="24"/>
          <w:szCs w:val="24"/>
        </w:rPr>
        <w:t>sauf</w:t>
      </w:r>
      <w:r w:rsidR="007C7E1C">
        <w:rPr>
          <w:rFonts w:ascii="Times New Roman" w:hAnsi="Times New Roman" w:cs="Times New Roman"/>
          <w:sz w:val="24"/>
          <w:szCs w:val="24"/>
        </w:rPr>
        <w:t xml:space="preserve"> 10% pour le riz) </w:t>
      </w:r>
      <w:r>
        <w:rPr>
          <w:rFonts w:ascii="Times New Roman" w:hAnsi="Times New Roman" w:cs="Times New Roman"/>
          <w:sz w:val="24"/>
          <w:szCs w:val="24"/>
        </w:rPr>
        <w:t xml:space="preserve">et le lait en poudre </w:t>
      </w:r>
      <w:r w:rsidR="007C7E1C">
        <w:rPr>
          <w:rFonts w:ascii="Times New Roman" w:hAnsi="Times New Roman" w:cs="Times New Roman"/>
          <w:sz w:val="24"/>
          <w:szCs w:val="24"/>
        </w:rPr>
        <w:t xml:space="preserve">(5%) </w:t>
      </w:r>
      <w:r>
        <w:rPr>
          <w:rFonts w:ascii="Times New Roman" w:hAnsi="Times New Roman" w:cs="Times New Roman"/>
          <w:sz w:val="24"/>
          <w:szCs w:val="24"/>
        </w:rPr>
        <w:t>et que, d'autre part, les pays d'AO n'ont jamais mis en œuvre de mesures an</w:t>
      </w:r>
      <w:r w:rsidR="006D7EE1">
        <w:rPr>
          <w:rFonts w:ascii="Times New Roman" w:hAnsi="Times New Roman" w:cs="Times New Roman"/>
          <w:sz w:val="24"/>
          <w:szCs w:val="24"/>
        </w:rPr>
        <w:t>t</w:t>
      </w:r>
      <w:r>
        <w:rPr>
          <w:rFonts w:ascii="Times New Roman" w:hAnsi="Times New Roman" w:cs="Times New Roman"/>
          <w:sz w:val="24"/>
          <w:szCs w:val="24"/>
        </w:rPr>
        <w:t xml:space="preserve">i-dumping </w:t>
      </w:r>
      <w:r w:rsidR="0063250B">
        <w:rPr>
          <w:rFonts w:ascii="Times New Roman" w:hAnsi="Times New Roman" w:cs="Times New Roman"/>
          <w:sz w:val="24"/>
          <w:szCs w:val="24"/>
        </w:rPr>
        <w:t xml:space="preserve">ou de mesures compensatoires </w:t>
      </w:r>
      <w:r w:rsidR="006D7EE1">
        <w:rPr>
          <w:rFonts w:ascii="Times New Roman" w:hAnsi="Times New Roman" w:cs="Times New Roman"/>
          <w:sz w:val="24"/>
          <w:szCs w:val="24"/>
        </w:rPr>
        <w:t>au sens de</w:t>
      </w:r>
      <w:r w:rsidR="0063250B">
        <w:rPr>
          <w:rFonts w:ascii="Times New Roman" w:hAnsi="Times New Roman" w:cs="Times New Roman"/>
          <w:sz w:val="24"/>
          <w:szCs w:val="24"/>
        </w:rPr>
        <w:t xml:space="preserve"> l'Accord anti-dumping, de l'Accord sur les subventions et mesures compensatoires</w:t>
      </w:r>
      <w:r w:rsidR="007C7E1C">
        <w:rPr>
          <w:rFonts w:ascii="Times New Roman" w:hAnsi="Times New Roman" w:cs="Times New Roman"/>
          <w:sz w:val="24"/>
          <w:szCs w:val="24"/>
        </w:rPr>
        <w:t xml:space="preserve"> et de l'Accord sur les sauvegardes </w:t>
      </w:r>
      <w:r w:rsidR="0063250B">
        <w:rPr>
          <w:rFonts w:ascii="Times New Roman" w:hAnsi="Times New Roman" w:cs="Times New Roman"/>
          <w:sz w:val="24"/>
          <w:szCs w:val="24"/>
        </w:rPr>
        <w:t xml:space="preserve">de l'OMC alors que l'UE </w:t>
      </w:r>
      <w:r w:rsidR="00D71FD5">
        <w:rPr>
          <w:rFonts w:ascii="Times New Roman" w:hAnsi="Times New Roman" w:cs="Times New Roman"/>
          <w:sz w:val="24"/>
          <w:szCs w:val="24"/>
        </w:rPr>
        <w:t>les utilise constamment</w:t>
      </w:r>
      <w:r w:rsidR="0063250B">
        <w:rPr>
          <w:rFonts w:ascii="Times New Roman" w:hAnsi="Times New Roman" w:cs="Times New Roman"/>
          <w:sz w:val="24"/>
          <w:szCs w:val="24"/>
        </w:rPr>
        <w:t>.</w:t>
      </w:r>
      <w:r>
        <w:rPr>
          <w:rFonts w:ascii="Times New Roman" w:hAnsi="Times New Roman" w:cs="Times New Roman"/>
          <w:sz w:val="24"/>
          <w:szCs w:val="24"/>
        </w:rPr>
        <w:t xml:space="preserve"> </w:t>
      </w:r>
      <w:r w:rsidR="00D71FD5">
        <w:rPr>
          <w:rFonts w:ascii="Times New Roman" w:hAnsi="Times New Roman" w:cs="Times New Roman"/>
          <w:sz w:val="24"/>
          <w:szCs w:val="24"/>
        </w:rPr>
        <w:t>Ainsi</w:t>
      </w:r>
      <w:r w:rsidR="00AB6BA7">
        <w:rPr>
          <w:rFonts w:ascii="Times New Roman" w:hAnsi="Times New Roman" w:cs="Times New Roman"/>
          <w:sz w:val="24"/>
          <w:szCs w:val="24"/>
        </w:rPr>
        <w:t xml:space="preserve">, de 1995 à 2013 l'UE a déposé 700 plaintes </w:t>
      </w:r>
      <w:r w:rsidR="00357521">
        <w:rPr>
          <w:rFonts w:ascii="Times New Roman" w:hAnsi="Times New Roman" w:cs="Times New Roman"/>
          <w:sz w:val="24"/>
          <w:szCs w:val="24"/>
        </w:rPr>
        <w:t xml:space="preserve">à l'OMC au titre de l'Accord </w:t>
      </w:r>
      <w:r w:rsidR="00AB6BA7">
        <w:rPr>
          <w:rFonts w:ascii="Times New Roman" w:hAnsi="Times New Roman" w:cs="Times New Roman"/>
          <w:sz w:val="24"/>
          <w:szCs w:val="24"/>
        </w:rPr>
        <w:t>anti-dumping</w:t>
      </w:r>
      <w:r w:rsidR="00357521">
        <w:rPr>
          <w:rFonts w:ascii="Times New Roman" w:hAnsi="Times New Roman" w:cs="Times New Roman"/>
          <w:sz w:val="24"/>
          <w:szCs w:val="24"/>
        </w:rPr>
        <w:t xml:space="preserve"> – </w:t>
      </w:r>
      <w:r w:rsidR="00AB6BA7">
        <w:rPr>
          <w:rFonts w:ascii="Times New Roman" w:hAnsi="Times New Roman" w:cs="Times New Roman"/>
          <w:sz w:val="24"/>
          <w:szCs w:val="24"/>
        </w:rPr>
        <w:t xml:space="preserve">dont 100 </w:t>
      </w:r>
      <w:r w:rsidR="00357521">
        <w:rPr>
          <w:rFonts w:ascii="Times New Roman" w:hAnsi="Times New Roman" w:cs="Times New Roman"/>
          <w:sz w:val="24"/>
          <w:szCs w:val="24"/>
        </w:rPr>
        <w:t xml:space="preserve">par </w:t>
      </w:r>
      <w:r w:rsidR="00AB6BA7">
        <w:rPr>
          <w:rFonts w:ascii="Times New Roman" w:hAnsi="Times New Roman" w:cs="Times New Roman"/>
          <w:sz w:val="24"/>
          <w:szCs w:val="24"/>
        </w:rPr>
        <w:t xml:space="preserve">l'UE et 600 </w:t>
      </w:r>
      <w:r w:rsidR="00357521">
        <w:rPr>
          <w:rFonts w:ascii="Times New Roman" w:hAnsi="Times New Roman" w:cs="Times New Roman"/>
          <w:sz w:val="24"/>
          <w:szCs w:val="24"/>
        </w:rPr>
        <w:t xml:space="preserve">par </w:t>
      </w:r>
      <w:r w:rsidR="00AB6BA7">
        <w:rPr>
          <w:rFonts w:ascii="Times New Roman" w:hAnsi="Times New Roman" w:cs="Times New Roman"/>
          <w:sz w:val="24"/>
          <w:szCs w:val="24"/>
        </w:rPr>
        <w:t>ses Etats membres, dont 102 par l'Allemagne, 58 par l'Italie, 51 par l'Espagne, 47 par le Royaume-Uni et 44 par la France</w:t>
      </w:r>
      <w:r w:rsidR="00357521">
        <w:rPr>
          <w:rFonts w:ascii="Times New Roman" w:hAnsi="Times New Roman" w:cs="Times New Roman"/>
          <w:sz w:val="24"/>
          <w:szCs w:val="24"/>
        </w:rPr>
        <w:t>, soit 15,5% du total mondial –, 51 plaintes au titre de l'Accord sur les subventions et mesures compensatoires – dont 14 par l'UE et 37 par ses Etats membres, dont 13 par l'Italie et 7 par la France, soit 15,2% du total mondial</w:t>
      </w:r>
      <w:r w:rsidR="00D27D8C">
        <w:rPr>
          <w:rFonts w:ascii="Times New Roman" w:hAnsi="Times New Roman" w:cs="Times New Roman"/>
          <w:sz w:val="24"/>
          <w:szCs w:val="24"/>
        </w:rPr>
        <w:t xml:space="preserve"> – et 31 plaintes au titre de l'Accord sur les sauvegardes, dont 5 de l'UE et 26 de ses Etats membres, soit 11,1% du total mondial. D'ailleurs 9 Etats membres de la CEDEAO ont notifié à l'OMC qu'ils n'avaient pas de mesures anti-dumping. Et </w:t>
      </w:r>
      <w:r w:rsidR="006D7EE1">
        <w:rPr>
          <w:rFonts w:ascii="Times New Roman" w:hAnsi="Times New Roman" w:cs="Times New Roman"/>
          <w:sz w:val="24"/>
          <w:szCs w:val="24"/>
        </w:rPr>
        <w:t>e</w:t>
      </w:r>
      <w:r w:rsidR="006D7EE1" w:rsidRPr="006D7EE1">
        <w:rPr>
          <w:rFonts w:ascii="Times New Roman" w:hAnsi="Times New Roman" w:cs="Times New Roman"/>
          <w:sz w:val="24"/>
          <w:szCs w:val="24"/>
        </w:rPr>
        <w:t xml:space="preserve">n </w:t>
      </w:r>
      <w:r w:rsidR="006D7EE1">
        <w:rPr>
          <w:rFonts w:ascii="Times New Roman" w:hAnsi="Times New Roman" w:cs="Times New Roman"/>
          <w:sz w:val="24"/>
          <w:szCs w:val="24"/>
        </w:rPr>
        <w:t xml:space="preserve">janvier </w:t>
      </w:r>
      <w:r w:rsidR="006D7EE1" w:rsidRPr="006D7EE1">
        <w:rPr>
          <w:rFonts w:ascii="Times New Roman" w:hAnsi="Times New Roman" w:cs="Times New Roman"/>
          <w:sz w:val="24"/>
          <w:szCs w:val="24"/>
        </w:rPr>
        <w:t>2002</w:t>
      </w:r>
      <w:r w:rsidR="006D7EE1">
        <w:rPr>
          <w:rFonts w:ascii="Times New Roman" w:hAnsi="Times New Roman" w:cs="Times New Roman"/>
          <w:sz w:val="24"/>
          <w:szCs w:val="24"/>
        </w:rPr>
        <w:t xml:space="preserve"> le </w:t>
      </w:r>
      <w:r w:rsidR="006D7EE1" w:rsidRPr="006D7EE1">
        <w:rPr>
          <w:rFonts w:ascii="Times New Roman" w:hAnsi="Times New Roman" w:cs="Times New Roman"/>
          <w:sz w:val="24"/>
          <w:szCs w:val="24"/>
        </w:rPr>
        <w:t xml:space="preserve">Nigeria </w:t>
      </w:r>
      <w:r w:rsidR="006D7EE1">
        <w:rPr>
          <w:rFonts w:ascii="Times New Roman" w:hAnsi="Times New Roman" w:cs="Times New Roman"/>
          <w:sz w:val="24"/>
          <w:szCs w:val="24"/>
        </w:rPr>
        <w:t xml:space="preserve">a </w:t>
      </w:r>
      <w:r w:rsidR="006D7EE1" w:rsidRPr="006D7EE1">
        <w:rPr>
          <w:rFonts w:ascii="Times New Roman" w:hAnsi="Times New Roman" w:cs="Times New Roman"/>
          <w:sz w:val="24"/>
          <w:szCs w:val="24"/>
        </w:rPr>
        <w:t>notifi</w:t>
      </w:r>
      <w:r w:rsidR="006D7EE1">
        <w:rPr>
          <w:rFonts w:ascii="Times New Roman" w:hAnsi="Times New Roman" w:cs="Times New Roman"/>
          <w:sz w:val="24"/>
          <w:szCs w:val="24"/>
        </w:rPr>
        <w:t>é au Comité sur les sauvegardes de l'OMC que ses interdictions d'importation de farine de blé, de sorgho, de mil et de kaolin étaient en place pour des raisons de sauvegarde</w:t>
      </w:r>
      <w:r w:rsidR="006D7EE1">
        <w:rPr>
          <w:rStyle w:val="Appelnotedebasdep"/>
          <w:rFonts w:ascii="Times New Roman" w:hAnsi="Times New Roman" w:cs="Times New Roman"/>
          <w:sz w:val="24"/>
          <w:szCs w:val="24"/>
        </w:rPr>
        <w:footnoteReference w:id="6"/>
      </w:r>
      <w:r w:rsidR="006D7EE1">
        <w:rPr>
          <w:rFonts w:ascii="Times New Roman" w:hAnsi="Times New Roman" w:cs="Times New Roman"/>
          <w:sz w:val="24"/>
          <w:szCs w:val="24"/>
        </w:rPr>
        <w:t>.</w:t>
      </w:r>
    </w:p>
    <w:p w:rsidR="008C0589" w:rsidRDefault="008C0589" w:rsidP="006D7EE1">
      <w:pPr>
        <w:tabs>
          <w:tab w:val="left" w:pos="142"/>
        </w:tabs>
        <w:autoSpaceDE w:val="0"/>
        <w:autoSpaceDN w:val="0"/>
        <w:adjustRightInd w:val="0"/>
        <w:spacing w:after="0" w:line="240" w:lineRule="auto"/>
        <w:jc w:val="both"/>
        <w:rPr>
          <w:rFonts w:ascii="Times New Roman" w:hAnsi="Times New Roman" w:cs="Times New Roman"/>
          <w:sz w:val="24"/>
          <w:szCs w:val="24"/>
        </w:rPr>
      </w:pPr>
    </w:p>
    <w:p w:rsidR="008C0589" w:rsidRPr="006D7EE1" w:rsidRDefault="008C0589" w:rsidP="008C0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conséquent le fait que l'article 20 de l'APE AO prévoit que "</w:t>
      </w:r>
      <w:r w:rsidRPr="008C0589">
        <w:rPr>
          <w:rStyle w:val="hps"/>
          <w:rFonts w:ascii="Times New Roman" w:hAnsi="Times New Roman" w:cs="Times New Roman"/>
          <w:i/>
          <w:sz w:val="24"/>
          <w:szCs w:val="24"/>
        </w:rPr>
        <w:t>Aucune des</w:t>
      </w:r>
      <w:r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dispositions du présent</w:t>
      </w:r>
      <w:r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accord n'empêche</w:t>
      </w:r>
      <w:r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l'Union européenne</w:t>
      </w:r>
      <w:r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ou</w:t>
      </w:r>
      <w:r w:rsidRPr="008C0589">
        <w:rPr>
          <w:rFonts w:ascii="Times New Roman" w:hAnsi="Times New Roman" w:cs="Times New Roman"/>
          <w:i/>
          <w:sz w:val="24"/>
          <w:szCs w:val="24"/>
        </w:rPr>
        <w:t xml:space="preserve"> </w:t>
      </w:r>
      <w:r w:rsidR="0039242A">
        <w:rPr>
          <w:rFonts w:ascii="Times New Roman" w:hAnsi="Times New Roman" w:cs="Times New Roman"/>
          <w:i/>
          <w:sz w:val="24"/>
          <w:szCs w:val="24"/>
        </w:rPr>
        <w:t>l</w:t>
      </w:r>
      <w:r w:rsidRPr="008C0589">
        <w:rPr>
          <w:rStyle w:val="hps"/>
          <w:rFonts w:ascii="Times New Roman" w:hAnsi="Times New Roman" w:cs="Times New Roman"/>
          <w:i/>
          <w:sz w:val="24"/>
          <w:szCs w:val="24"/>
        </w:rPr>
        <w:t>es États de l'</w:t>
      </w:r>
      <w:r w:rsidRPr="008C0589">
        <w:rPr>
          <w:rFonts w:ascii="Times New Roman" w:hAnsi="Times New Roman" w:cs="Times New Roman"/>
          <w:i/>
          <w:sz w:val="24"/>
          <w:szCs w:val="24"/>
        </w:rPr>
        <w:t xml:space="preserve">Afrique de l'Ouest </w:t>
      </w:r>
      <w:r w:rsidR="0039242A" w:rsidRPr="008C0589">
        <w:rPr>
          <w:rFonts w:ascii="Times New Roman" w:hAnsi="Times New Roman" w:cs="Times New Roman"/>
          <w:i/>
          <w:sz w:val="24"/>
          <w:szCs w:val="24"/>
        </w:rPr>
        <w:t xml:space="preserve">de </w:t>
      </w:r>
      <w:r w:rsidR="0039242A" w:rsidRPr="008C0589">
        <w:rPr>
          <w:rStyle w:val="hps"/>
          <w:rFonts w:ascii="Times New Roman" w:hAnsi="Times New Roman" w:cs="Times New Roman"/>
          <w:i/>
          <w:sz w:val="24"/>
          <w:szCs w:val="24"/>
        </w:rPr>
        <w:t>prendre</w:t>
      </w:r>
      <w:r w:rsidR="0039242A"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individuellement ou collectivement</w:t>
      </w:r>
      <w:r w:rsidRPr="008C0589">
        <w:rPr>
          <w:rFonts w:ascii="Times New Roman" w:hAnsi="Times New Roman" w:cs="Times New Roman"/>
          <w:i/>
          <w:sz w:val="24"/>
          <w:szCs w:val="24"/>
        </w:rPr>
        <w:t xml:space="preserve"> des mesures </w:t>
      </w:r>
      <w:r w:rsidRPr="008C0589">
        <w:rPr>
          <w:rStyle w:val="hps"/>
          <w:rFonts w:ascii="Times New Roman" w:hAnsi="Times New Roman" w:cs="Times New Roman"/>
          <w:i/>
          <w:sz w:val="24"/>
          <w:szCs w:val="24"/>
        </w:rPr>
        <w:t>antidumping</w:t>
      </w:r>
      <w:r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ou compensatoires</w:t>
      </w:r>
      <w:r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en vertu des</w:t>
      </w:r>
      <w:r w:rsidRPr="008C0589">
        <w:rPr>
          <w:rFonts w:ascii="Times New Roman" w:hAnsi="Times New Roman" w:cs="Times New Roman"/>
          <w:i/>
          <w:sz w:val="24"/>
          <w:szCs w:val="24"/>
        </w:rPr>
        <w:t xml:space="preserve"> </w:t>
      </w:r>
      <w:r w:rsidRPr="008C0589">
        <w:rPr>
          <w:rStyle w:val="hps"/>
          <w:rFonts w:ascii="Times New Roman" w:hAnsi="Times New Roman" w:cs="Times New Roman"/>
          <w:i/>
          <w:sz w:val="24"/>
          <w:szCs w:val="24"/>
        </w:rPr>
        <w:t xml:space="preserve">accords de l'OMC… </w:t>
      </w:r>
      <w:r w:rsidRPr="008C0589">
        <w:rPr>
          <w:rFonts w:ascii="Times New Roman" w:eastAsia="Times New Roman" w:hAnsi="Times New Roman" w:cs="Times New Roman"/>
          <w:i/>
          <w:sz w:val="24"/>
          <w:szCs w:val="24"/>
          <w:lang w:eastAsia="fr-FR"/>
        </w:rPr>
        <w:t>Aucun produit provenant de l'une des Parties, lors de leur importation sur le territoire de l'autre Partie, ne sera soumis à la fois à des droits antidumping et compensateurs afin de remédier à une même situation résultant de</w:t>
      </w:r>
      <w:r w:rsidR="0039242A">
        <w:rPr>
          <w:rFonts w:ascii="Times New Roman" w:eastAsia="Times New Roman" w:hAnsi="Times New Roman" w:cs="Times New Roman"/>
          <w:i/>
          <w:sz w:val="24"/>
          <w:szCs w:val="24"/>
          <w:lang w:eastAsia="fr-FR"/>
        </w:rPr>
        <w:t xml:space="preserve"> dumping ou de</w:t>
      </w:r>
      <w:r w:rsidRPr="008C0589">
        <w:rPr>
          <w:rFonts w:ascii="Times New Roman" w:eastAsia="Times New Roman" w:hAnsi="Times New Roman" w:cs="Times New Roman"/>
          <w:i/>
          <w:sz w:val="24"/>
          <w:szCs w:val="24"/>
          <w:lang w:eastAsia="fr-FR"/>
        </w:rPr>
        <w:t xml:space="preserve"> subventions à l'exportation</w:t>
      </w:r>
      <w:r>
        <w:rPr>
          <w:rFonts w:ascii="Times New Roman" w:hAnsi="Times New Roman" w:cs="Times New Roman"/>
          <w:sz w:val="24"/>
          <w:szCs w:val="24"/>
        </w:rPr>
        <w:t xml:space="preserve">" n'aura pas d'effet pour l'AO.  </w:t>
      </w:r>
    </w:p>
    <w:p w:rsidR="00883D68" w:rsidRDefault="00883D68" w:rsidP="00EB38AD">
      <w:pPr>
        <w:tabs>
          <w:tab w:val="left" w:pos="142"/>
        </w:tabs>
        <w:autoSpaceDE w:val="0"/>
        <w:autoSpaceDN w:val="0"/>
        <w:adjustRightInd w:val="0"/>
        <w:spacing w:after="0" w:line="240" w:lineRule="auto"/>
        <w:jc w:val="both"/>
        <w:rPr>
          <w:rFonts w:ascii="Times New Roman" w:hAnsi="Times New Roman" w:cs="Times New Roman"/>
          <w:sz w:val="24"/>
          <w:szCs w:val="24"/>
        </w:rPr>
      </w:pPr>
    </w:p>
    <w:p w:rsidR="00EB38AD" w:rsidRDefault="00214021" w:rsidP="00EB38AD">
      <w:pPr>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Pourtant</w:t>
      </w:r>
      <w:r w:rsidR="00EB38AD">
        <w:rPr>
          <w:rFonts w:ascii="Times New Roman" w:hAnsi="Times New Roman" w:cs="Times New Roman"/>
          <w:sz w:val="24"/>
          <w:szCs w:val="24"/>
        </w:rPr>
        <w:t xml:space="preserve">, contrairement aux pays ACP, </w:t>
      </w:r>
      <w:r w:rsidR="00002E9D" w:rsidRPr="00002E9D">
        <w:rPr>
          <w:rFonts w:ascii="Times New Roman" w:hAnsi="Times New Roman" w:cs="Times New Roman"/>
          <w:sz w:val="24"/>
          <w:szCs w:val="24"/>
        </w:rPr>
        <w:t xml:space="preserve">l'UE bénéficie </w:t>
      </w:r>
      <w:r w:rsidR="00EB38AD">
        <w:rPr>
          <w:rFonts w:ascii="Times New Roman" w:hAnsi="Times New Roman" w:cs="Times New Roman"/>
          <w:sz w:val="24"/>
          <w:szCs w:val="24"/>
        </w:rPr>
        <w:t xml:space="preserve">seule </w:t>
      </w:r>
      <w:r w:rsidR="00002E9D" w:rsidRPr="00EB38AD">
        <w:rPr>
          <w:rFonts w:ascii="Times New Roman" w:hAnsi="Times New Roman" w:cs="Times New Roman"/>
          <w:sz w:val="24"/>
          <w:szCs w:val="24"/>
        </w:rPr>
        <w:t>de</w:t>
      </w:r>
      <w:r w:rsidR="00EB38AD" w:rsidRPr="00EB38AD">
        <w:rPr>
          <w:rFonts w:ascii="Times New Roman" w:hAnsi="Times New Roman" w:cs="Times New Roman"/>
          <w:sz w:val="24"/>
          <w:szCs w:val="24"/>
        </w:rPr>
        <w:t xml:space="preserve"> la Clause de sauvegarde spéciale (CSS) de l'A</w:t>
      </w:r>
      <w:r w:rsidR="00EB38AD">
        <w:rPr>
          <w:rFonts w:ascii="Times New Roman" w:hAnsi="Times New Roman" w:cs="Times New Roman"/>
          <w:sz w:val="24"/>
          <w:szCs w:val="24"/>
        </w:rPr>
        <w:t>ccord sur l'agriculture (AsA) de l'OMC</w:t>
      </w:r>
      <w:r w:rsidR="00EB38AD" w:rsidRPr="00EB38AD">
        <w:rPr>
          <w:rFonts w:ascii="Times New Roman" w:hAnsi="Times New Roman" w:cs="Times New Roman"/>
          <w:sz w:val="24"/>
          <w:szCs w:val="24"/>
        </w:rPr>
        <w:t xml:space="preserve">. </w:t>
      </w:r>
      <w:r w:rsidR="003441D3">
        <w:rPr>
          <w:rFonts w:ascii="Times New Roman" w:hAnsi="Times New Roman" w:cs="Times New Roman"/>
          <w:sz w:val="24"/>
          <w:szCs w:val="24"/>
        </w:rPr>
        <w:t xml:space="preserve">Alors que la sauvegarde prévue dans l'APE ne joue qu'en cas de hausse des quantités importées et ne peut dépasser </w:t>
      </w:r>
      <w:r w:rsidR="00857C6F" w:rsidRPr="00EB38AD">
        <w:rPr>
          <w:rFonts w:ascii="Times New Roman" w:hAnsi="Times New Roman" w:cs="Times New Roman"/>
          <w:sz w:val="24"/>
          <w:szCs w:val="24"/>
        </w:rPr>
        <w:t>"</w:t>
      </w:r>
      <w:r w:rsidR="00857C6F" w:rsidRPr="00EB38AD">
        <w:rPr>
          <w:rFonts w:ascii="Times New Roman" w:hAnsi="Times New Roman" w:cs="Times New Roman"/>
          <w:i/>
          <w:iCs/>
          <w:sz w:val="24"/>
          <w:szCs w:val="24"/>
        </w:rPr>
        <w:t>le droit de douane appliqué de la nation la plus favorisée</w:t>
      </w:r>
      <w:r w:rsidR="00857C6F" w:rsidRPr="00EB38AD">
        <w:rPr>
          <w:rFonts w:ascii="Times New Roman" w:hAnsi="Times New Roman" w:cs="Times New Roman"/>
          <w:sz w:val="24"/>
          <w:szCs w:val="24"/>
        </w:rPr>
        <w:t>"</w:t>
      </w:r>
      <w:r w:rsidR="00857C6F">
        <w:rPr>
          <w:rFonts w:ascii="Times New Roman" w:hAnsi="Times New Roman" w:cs="Times New Roman"/>
          <w:sz w:val="24"/>
          <w:szCs w:val="24"/>
        </w:rPr>
        <w:t xml:space="preserve"> (article 3.b ci-dessus)</w:t>
      </w:r>
      <w:r w:rsidR="003441D3">
        <w:rPr>
          <w:rFonts w:ascii="Times New Roman" w:hAnsi="Times New Roman" w:cs="Times New Roman"/>
          <w:sz w:val="24"/>
          <w:szCs w:val="24"/>
        </w:rPr>
        <w:t xml:space="preserve">, </w:t>
      </w:r>
      <w:r w:rsidR="00EB38AD" w:rsidRPr="00EB38AD">
        <w:rPr>
          <w:rFonts w:ascii="Times New Roman" w:hAnsi="Times New Roman" w:cs="Times New Roman"/>
          <w:sz w:val="24"/>
          <w:szCs w:val="24"/>
        </w:rPr>
        <w:t xml:space="preserve">la CSS peut être déclenchée soit par la hausse des </w:t>
      </w:r>
      <w:r w:rsidR="00857C6F">
        <w:rPr>
          <w:rFonts w:ascii="Times New Roman" w:hAnsi="Times New Roman" w:cs="Times New Roman"/>
          <w:sz w:val="24"/>
          <w:szCs w:val="24"/>
        </w:rPr>
        <w:t xml:space="preserve">quantités </w:t>
      </w:r>
      <w:r w:rsidR="00EB38AD" w:rsidRPr="00EB38AD">
        <w:rPr>
          <w:rFonts w:ascii="Times New Roman" w:hAnsi="Times New Roman" w:cs="Times New Roman"/>
          <w:sz w:val="24"/>
          <w:szCs w:val="24"/>
        </w:rPr>
        <w:t>importé</w:t>
      </w:r>
      <w:r w:rsidR="00857C6F">
        <w:rPr>
          <w:rFonts w:ascii="Times New Roman" w:hAnsi="Times New Roman" w:cs="Times New Roman"/>
          <w:sz w:val="24"/>
          <w:szCs w:val="24"/>
        </w:rPr>
        <w:t>e</w:t>
      </w:r>
      <w:r w:rsidR="00EB38AD" w:rsidRPr="00EB38AD">
        <w:rPr>
          <w:rFonts w:ascii="Times New Roman" w:hAnsi="Times New Roman" w:cs="Times New Roman"/>
          <w:sz w:val="24"/>
          <w:szCs w:val="24"/>
        </w:rPr>
        <w:t>s soit par la chute des prix à l'importation. Et, dans ce cas, le droit supplémentaire peut dépasser "</w:t>
      </w:r>
      <w:r w:rsidR="00EB38AD" w:rsidRPr="00EB38AD">
        <w:rPr>
          <w:rFonts w:ascii="Times New Roman" w:hAnsi="Times New Roman" w:cs="Times New Roman"/>
          <w:i/>
          <w:color w:val="000000"/>
          <w:sz w:val="24"/>
          <w:szCs w:val="24"/>
        </w:rPr>
        <w:t>un tiers du niveau du droit de douane ordinaire en vigueur l'année où l'action a lieu</w:t>
      </w:r>
      <w:r w:rsidR="00EB38AD" w:rsidRPr="00EB38AD">
        <w:rPr>
          <w:rFonts w:ascii="Times New Roman" w:hAnsi="Times New Roman" w:cs="Times New Roman"/>
          <w:color w:val="000000"/>
          <w:sz w:val="24"/>
          <w:szCs w:val="24"/>
        </w:rPr>
        <w:t xml:space="preserve">". Puisque les </w:t>
      </w:r>
      <w:r w:rsidR="00C82E83">
        <w:rPr>
          <w:rFonts w:ascii="Times New Roman" w:hAnsi="Times New Roman" w:cs="Times New Roman"/>
          <w:color w:val="000000"/>
          <w:sz w:val="24"/>
          <w:szCs w:val="24"/>
        </w:rPr>
        <w:t>DD</w:t>
      </w:r>
      <w:r w:rsidR="00EB38AD" w:rsidRPr="00EB38AD">
        <w:rPr>
          <w:rFonts w:ascii="Times New Roman" w:hAnsi="Times New Roman" w:cs="Times New Roman"/>
          <w:color w:val="000000"/>
          <w:sz w:val="24"/>
          <w:szCs w:val="24"/>
        </w:rPr>
        <w:t xml:space="preserve"> agricoles appliqués de l'UE sont les mêmes que ses droits consolidés</w:t>
      </w:r>
      <w:r w:rsidR="00EB38AD" w:rsidRPr="00EB38AD">
        <w:rPr>
          <w:rFonts w:ascii="Times New Roman" w:hAnsi="Times New Roman" w:cs="Times New Roman"/>
          <w:sz w:val="24"/>
          <w:szCs w:val="24"/>
        </w:rPr>
        <w:t xml:space="preserve">, l'UE peut dépasser d'un tiers ses droits consolidés sur les 31% de ses lignes tarifaires couvertes par la CSS, sachant que la CSS ne plafonne pas le nombre de lignes tarifaires que l'on peut invoquer une année donnée. </w:t>
      </w:r>
    </w:p>
    <w:p w:rsidR="00625511" w:rsidRDefault="00625511" w:rsidP="00EB38AD">
      <w:pPr>
        <w:tabs>
          <w:tab w:val="left" w:pos="142"/>
        </w:tabs>
        <w:autoSpaceDE w:val="0"/>
        <w:autoSpaceDN w:val="0"/>
        <w:adjustRightInd w:val="0"/>
        <w:spacing w:after="0" w:line="240" w:lineRule="auto"/>
        <w:jc w:val="both"/>
        <w:rPr>
          <w:rFonts w:ascii="Times New Roman" w:hAnsi="Times New Roman" w:cs="Times New Roman"/>
          <w:sz w:val="24"/>
          <w:szCs w:val="24"/>
        </w:rPr>
      </w:pPr>
    </w:p>
    <w:p w:rsidR="00625511" w:rsidRPr="00985982" w:rsidRDefault="002F4727" w:rsidP="00383531">
      <w:pPr>
        <w:pStyle w:val="Annexetitre"/>
        <w:spacing w:before="0" w:after="0"/>
        <w:jc w:val="both"/>
        <w:rPr>
          <w:noProof/>
          <w:color w:val="0000FF"/>
          <w:szCs w:val="20"/>
        </w:rPr>
      </w:pPr>
      <w:r>
        <w:rPr>
          <w:b w:val="0"/>
          <w:szCs w:val="24"/>
          <w:u w:val="none"/>
        </w:rPr>
        <w:t>Qui plus est</w:t>
      </w:r>
      <w:r w:rsidR="0039242A">
        <w:rPr>
          <w:b w:val="0"/>
          <w:szCs w:val="24"/>
          <w:u w:val="none"/>
        </w:rPr>
        <w:t>,</w:t>
      </w:r>
      <w:r>
        <w:rPr>
          <w:b w:val="0"/>
          <w:szCs w:val="24"/>
          <w:u w:val="none"/>
        </w:rPr>
        <w:t xml:space="preserve"> </w:t>
      </w:r>
      <w:r w:rsidR="009E27E7" w:rsidRPr="009E27E7">
        <w:rPr>
          <w:b w:val="0"/>
          <w:szCs w:val="24"/>
          <w:u w:val="none"/>
        </w:rPr>
        <w:t xml:space="preserve">le paragraphe 3 de l'annexe B </w:t>
      </w:r>
      <w:r w:rsidR="00857C6F">
        <w:rPr>
          <w:b w:val="0"/>
          <w:szCs w:val="24"/>
          <w:u w:val="none"/>
        </w:rPr>
        <w:t xml:space="preserve">de l'Accord APE </w:t>
      </w:r>
      <w:r w:rsidR="009E27E7" w:rsidRPr="009E27E7">
        <w:rPr>
          <w:b w:val="0"/>
          <w:szCs w:val="24"/>
          <w:u w:val="none"/>
        </w:rPr>
        <w:t xml:space="preserve">sur </w:t>
      </w:r>
      <w:r w:rsidR="009E27E7">
        <w:rPr>
          <w:b w:val="0"/>
          <w:noProof/>
          <w:u w:val="none"/>
        </w:rPr>
        <w:t>les DD de l'UE sur les produits importés d'AO prévoit que l'UE fera jouer des mesures de sauvegarde en cas de baisse des prix du sucre : "</w:t>
      </w:r>
      <w:r w:rsidR="00625511" w:rsidRPr="009E27E7">
        <w:rPr>
          <w:b w:val="0"/>
          <w:i/>
          <w:noProof/>
          <w:u w:val="none"/>
        </w:rPr>
        <w:t>3.</w:t>
      </w:r>
      <w:r w:rsidR="009E27E7">
        <w:rPr>
          <w:b w:val="0"/>
          <w:i/>
          <w:noProof/>
          <w:u w:val="none"/>
        </w:rPr>
        <w:t xml:space="preserve"> </w:t>
      </w:r>
      <w:r w:rsidR="00383531" w:rsidRPr="00383531">
        <w:rPr>
          <w:rStyle w:val="hps"/>
          <w:b w:val="0"/>
          <w:i/>
          <w:u w:val="none"/>
        </w:rPr>
        <w:t>À compter du 1er</w:t>
      </w:r>
      <w:r w:rsidR="00383531" w:rsidRPr="00383531">
        <w:rPr>
          <w:b w:val="0"/>
          <w:i/>
          <w:u w:val="none"/>
        </w:rPr>
        <w:t xml:space="preserve"> </w:t>
      </w:r>
      <w:r w:rsidR="00383531" w:rsidRPr="00383531">
        <w:rPr>
          <w:rStyle w:val="hps"/>
          <w:b w:val="0"/>
          <w:i/>
          <w:u w:val="none"/>
        </w:rPr>
        <w:t>Octobre</w:t>
      </w:r>
      <w:r w:rsidR="00383531" w:rsidRPr="00383531">
        <w:rPr>
          <w:b w:val="0"/>
          <w:i/>
          <w:u w:val="none"/>
        </w:rPr>
        <w:t xml:space="preserve"> </w:t>
      </w:r>
      <w:r w:rsidR="00383531" w:rsidRPr="00383531">
        <w:rPr>
          <w:rStyle w:val="hps"/>
          <w:b w:val="0"/>
          <w:i/>
          <w:u w:val="none"/>
        </w:rPr>
        <w:t>2015,</w:t>
      </w:r>
      <w:r w:rsidR="00383531" w:rsidRPr="00383531">
        <w:rPr>
          <w:b w:val="0"/>
          <w:i/>
          <w:u w:val="none"/>
        </w:rPr>
        <w:t xml:space="preserve"> </w:t>
      </w:r>
      <w:r w:rsidR="00383531" w:rsidRPr="00383531">
        <w:rPr>
          <w:rStyle w:val="hps"/>
          <w:b w:val="0"/>
          <w:i/>
          <w:u w:val="none"/>
        </w:rPr>
        <w:t>dans le but</w:t>
      </w:r>
      <w:r w:rsidR="00383531" w:rsidRPr="00383531">
        <w:rPr>
          <w:b w:val="0"/>
          <w:i/>
          <w:u w:val="none"/>
        </w:rPr>
        <w:t xml:space="preserve"> </w:t>
      </w:r>
      <w:r w:rsidR="00383531" w:rsidRPr="00383531">
        <w:rPr>
          <w:rStyle w:val="hps"/>
          <w:b w:val="0"/>
          <w:i/>
          <w:u w:val="none"/>
        </w:rPr>
        <w:t>d'appliquer les</w:t>
      </w:r>
      <w:r w:rsidR="00383531" w:rsidRPr="00383531">
        <w:rPr>
          <w:b w:val="0"/>
          <w:i/>
          <w:u w:val="none"/>
        </w:rPr>
        <w:t xml:space="preserve"> </w:t>
      </w:r>
      <w:r w:rsidR="00383531" w:rsidRPr="00383531">
        <w:rPr>
          <w:rStyle w:val="hps"/>
          <w:b w:val="0"/>
          <w:i/>
          <w:u w:val="none"/>
        </w:rPr>
        <w:t>dispositions de l'article</w:t>
      </w:r>
      <w:r w:rsidR="00383531" w:rsidRPr="00383531">
        <w:rPr>
          <w:b w:val="0"/>
          <w:i/>
          <w:u w:val="none"/>
        </w:rPr>
        <w:t xml:space="preserve"> </w:t>
      </w:r>
      <w:r w:rsidR="00383531" w:rsidRPr="00383531">
        <w:rPr>
          <w:rStyle w:val="hps"/>
          <w:b w:val="0"/>
          <w:i/>
          <w:u w:val="none"/>
        </w:rPr>
        <w:t>22</w:t>
      </w:r>
      <w:r w:rsidR="00383531" w:rsidRPr="00383531">
        <w:rPr>
          <w:b w:val="0"/>
          <w:i/>
          <w:u w:val="none"/>
        </w:rPr>
        <w:t xml:space="preserve">, </w:t>
      </w:r>
      <w:r w:rsidR="00383531" w:rsidRPr="00383531">
        <w:rPr>
          <w:rStyle w:val="hps"/>
          <w:b w:val="0"/>
          <w:i/>
          <w:u w:val="none"/>
        </w:rPr>
        <w:t>des perturbations dans</w:t>
      </w:r>
      <w:r w:rsidR="00383531" w:rsidRPr="00383531">
        <w:rPr>
          <w:b w:val="0"/>
          <w:i/>
          <w:u w:val="none"/>
        </w:rPr>
        <w:t xml:space="preserve"> </w:t>
      </w:r>
      <w:r w:rsidR="00383531" w:rsidRPr="00383531">
        <w:rPr>
          <w:rStyle w:val="hps"/>
          <w:b w:val="0"/>
          <w:i/>
          <w:u w:val="none"/>
        </w:rPr>
        <w:t>le marché</w:t>
      </w:r>
      <w:r w:rsidR="00383531" w:rsidRPr="00383531">
        <w:rPr>
          <w:b w:val="0"/>
          <w:i/>
          <w:u w:val="none"/>
        </w:rPr>
        <w:t xml:space="preserve"> </w:t>
      </w:r>
      <w:r w:rsidR="00383531" w:rsidRPr="00383531">
        <w:rPr>
          <w:rStyle w:val="hps"/>
          <w:b w:val="0"/>
          <w:i/>
          <w:u w:val="none"/>
        </w:rPr>
        <w:t>pour les produits</w:t>
      </w:r>
      <w:r w:rsidR="00383531" w:rsidRPr="00383531">
        <w:rPr>
          <w:b w:val="0"/>
          <w:i/>
          <w:u w:val="none"/>
        </w:rPr>
        <w:t xml:space="preserve"> </w:t>
      </w:r>
      <w:r w:rsidR="00383531" w:rsidRPr="00383531">
        <w:rPr>
          <w:rStyle w:val="hps"/>
          <w:b w:val="0"/>
          <w:i/>
          <w:u w:val="none"/>
        </w:rPr>
        <w:t>du</w:t>
      </w:r>
      <w:r w:rsidR="00383531">
        <w:rPr>
          <w:rStyle w:val="hps"/>
          <w:b w:val="0"/>
          <w:i/>
          <w:u w:val="none"/>
        </w:rPr>
        <w:t xml:space="preserve"> code tarifaire </w:t>
      </w:r>
      <w:r w:rsidR="00383531" w:rsidRPr="00383531">
        <w:rPr>
          <w:rStyle w:val="hps"/>
          <w:b w:val="0"/>
          <w:i/>
          <w:u w:val="none"/>
        </w:rPr>
        <w:t>17.01</w:t>
      </w:r>
      <w:r w:rsidR="00383531">
        <w:rPr>
          <w:rStyle w:val="hps"/>
          <w:b w:val="0"/>
          <w:i/>
          <w:u w:val="none"/>
        </w:rPr>
        <w:t xml:space="preserve"> </w:t>
      </w:r>
      <w:r w:rsidR="00383531" w:rsidRPr="00383531">
        <w:rPr>
          <w:rStyle w:val="hps"/>
          <w:b w:val="0"/>
          <w:i/>
          <w:u w:val="none"/>
        </w:rPr>
        <w:t>peuvent</w:t>
      </w:r>
      <w:r w:rsidR="00383531" w:rsidRPr="00383531">
        <w:rPr>
          <w:b w:val="0"/>
          <w:i/>
          <w:u w:val="none"/>
        </w:rPr>
        <w:t xml:space="preserve"> </w:t>
      </w:r>
      <w:r w:rsidR="00383531" w:rsidRPr="00383531">
        <w:rPr>
          <w:rStyle w:val="hps"/>
          <w:b w:val="0"/>
          <w:i/>
          <w:u w:val="none"/>
        </w:rPr>
        <w:t>être</w:t>
      </w:r>
      <w:r w:rsidR="00383531" w:rsidRPr="00383531">
        <w:rPr>
          <w:b w:val="0"/>
          <w:i/>
          <w:u w:val="none"/>
        </w:rPr>
        <w:t xml:space="preserve"> </w:t>
      </w:r>
      <w:r w:rsidR="00383531" w:rsidRPr="00383531">
        <w:rPr>
          <w:rStyle w:val="hps"/>
          <w:b w:val="0"/>
          <w:i/>
          <w:u w:val="none"/>
        </w:rPr>
        <w:t>considérées comme provenant de</w:t>
      </w:r>
      <w:r w:rsidR="00383531" w:rsidRPr="00383531">
        <w:rPr>
          <w:b w:val="0"/>
          <w:i/>
          <w:u w:val="none"/>
        </w:rPr>
        <w:t xml:space="preserve"> </w:t>
      </w:r>
      <w:r w:rsidR="00383531" w:rsidRPr="00383531">
        <w:rPr>
          <w:rStyle w:val="hps"/>
          <w:b w:val="0"/>
          <w:i/>
          <w:u w:val="none"/>
        </w:rPr>
        <w:t>situations</w:t>
      </w:r>
      <w:r w:rsidR="00383531" w:rsidRPr="00383531">
        <w:rPr>
          <w:b w:val="0"/>
          <w:i/>
          <w:u w:val="none"/>
        </w:rPr>
        <w:t xml:space="preserve"> </w:t>
      </w:r>
      <w:r w:rsidR="00383531" w:rsidRPr="00383531">
        <w:rPr>
          <w:rStyle w:val="hps"/>
          <w:b w:val="0"/>
          <w:i/>
          <w:u w:val="none"/>
        </w:rPr>
        <w:t>où</w:t>
      </w:r>
      <w:r w:rsidR="00383531" w:rsidRPr="00383531">
        <w:rPr>
          <w:b w:val="0"/>
          <w:i/>
          <w:u w:val="none"/>
        </w:rPr>
        <w:t xml:space="preserve"> </w:t>
      </w:r>
      <w:r w:rsidR="00383531" w:rsidRPr="00383531">
        <w:rPr>
          <w:rStyle w:val="hps"/>
          <w:b w:val="0"/>
          <w:i/>
          <w:u w:val="none"/>
        </w:rPr>
        <w:t>le prix</w:t>
      </w:r>
      <w:r w:rsidR="00383531" w:rsidRPr="00383531">
        <w:rPr>
          <w:b w:val="0"/>
          <w:i/>
          <w:u w:val="none"/>
        </w:rPr>
        <w:t xml:space="preserve"> </w:t>
      </w:r>
      <w:r w:rsidR="00383531" w:rsidRPr="00383531">
        <w:rPr>
          <w:rStyle w:val="hps"/>
          <w:b w:val="0"/>
          <w:i/>
          <w:u w:val="none"/>
        </w:rPr>
        <w:t>moyen communautaire</w:t>
      </w:r>
      <w:r w:rsidR="00383531" w:rsidRPr="00383531">
        <w:rPr>
          <w:b w:val="0"/>
          <w:i/>
          <w:u w:val="none"/>
        </w:rPr>
        <w:t xml:space="preserve"> </w:t>
      </w:r>
      <w:r w:rsidR="00383531" w:rsidRPr="00383531">
        <w:rPr>
          <w:rStyle w:val="hps"/>
          <w:b w:val="0"/>
          <w:i/>
          <w:u w:val="none"/>
        </w:rPr>
        <w:t>du sucre</w:t>
      </w:r>
      <w:r w:rsidR="00383531" w:rsidRPr="00383531">
        <w:rPr>
          <w:b w:val="0"/>
          <w:i/>
          <w:u w:val="none"/>
        </w:rPr>
        <w:t xml:space="preserve"> </w:t>
      </w:r>
      <w:r w:rsidR="00383531" w:rsidRPr="00383531">
        <w:rPr>
          <w:rStyle w:val="hps"/>
          <w:b w:val="0"/>
          <w:i/>
          <w:u w:val="none"/>
        </w:rPr>
        <w:t>blanc est inférieur</w:t>
      </w:r>
      <w:r w:rsidR="00383531" w:rsidRPr="00383531">
        <w:rPr>
          <w:b w:val="0"/>
          <w:i/>
          <w:u w:val="none"/>
        </w:rPr>
        <w:t xml:space="preserve">, pendant deux mois </w:t>
      </w:r>
      <w:r w:rsidR="00383531" w:rsidRPr="00383531">
        <w:rPr>
          <w:rStyle w:val="hps"/>
          <w:b w:val="0"/>
          <w:i/>
          <w:u w:val="none"/>
        </w:rPr>
        <w:t>consécutifs, à 80</w:t>
      </w:r>
      <w:r w:rsidR="00383531" w:rsidRPr="00383531">
        <w:rPr>
          <w:b w:val="0"/>
          <w:i/>
          <w:u w:val="none"/>
        </w:rPr>
        <w:t xml:space="preserve"> </w:t>
      </w:r>
      <w:r w:rsidR="00383531" w:rsidRPr="00383531">
        <w:rPr>
          <w:rStyle w:val="hps"/>
          <w:b w:val="0"/>
          <w:i/>
          <w:u w:val="none"/>
        </w:rPr>
        <w:t>% du prix</w:t>
      </w:r>
      <w:r w:rsidR="00383531" w:rsidRPr="00383531">
        <w:rPr>
          <w:b w:val="0"/>
          <w:i/>
          <w:u w:val="none"/>
        </w:rPr>
        <w:t xml:space="preserve"> </w:t>
      </w:r>
      <w:r w:rsidR="00383531" w:rsidRPr="00383531">
        <w:rPr>
          <w:rStyle w:val="hps"/>
          <w:b w:val="0"/>
          <w:i/>
          <w:u w:val="none"/>
        </w:rPr>
        <w:t>moyen communautaire</w:t>
      </w:r>
      <w:r w:rsidR="00383531" w:rsidRPr="00383531">
        <w:rPr>
          <w:b w:val="0"/>
          <w:i/>
          <w:u w:val="none"/>
        </w:rPr>
        <w:t xml:space="preserve"> </w:t>
      </w:r>
      <w:r w:rsidR="00383531" w:rsidRPr="00383531">
        <w:rPr>
          <w:rStyle w:val="hps"/>
          <w:b w:val="0"/>
          <w:i/>
          <w:u w:val="none"/>
        </w:rPr>
        <w:t>du sucre blanc constaté</w:t>
      </w:r>
      <w:r w:rsidR="00383531" w:rsidRPr="00383531">
        <w:rPr>
          <w:b w:val="0"/>
          <w:i/>
          <w:u w:val="none"/>
        </w:rPr>
        <w:t xml:space="preserve"> </w:t>
      </w:r>
      <w:r w:rsidR="00383531" w:rsidRPr="00383531">
        <w:rPr>
          <w:rStyle w:val="hps"/>
          <w:b w:val="0"/>
          <w:i/>
          <w:u w:val="none"/>
        </w:rPr>
        <w:t>durant</w:t>
      </w:r>
      <w:r w:rsidR="00383531" w:rsidRPr="00383531">
        <w:rPr>
          <w:b w:val="0"/>
          <w:i/>
          <w:u w:val="none"/>
        </w:rPr>
        <w:t xml:space="preserve"> </w:t>
      </w:r>
      <w:r w:rsidR="00383531" w:rsidRPr="00383531">
        <w:rPr>
          <w:rStyle w:val="hps"/>
          <w:b w:val="0"/>
          <w:i/>
          <w:u w:val="none"/>
        </w:rPr>
        <w:t>la campagne de commercialisation</w:t>
      </w:r>
      <w:r w:rsidR="00383531" w:rsidRPr="00383531">
        <w:rPr>
          <w:b w:val="0"/>
          <w:i/>
          <w:u w:val="none"/>
        </w:rPr>
        <w:t xml:space="preserve"> </w:t>
      </w:r>
      <w:r w:rsidR="00383531" w:rsidRPr="00383531">
        <w:rPr>
          <w:rStyle w:val="hps"/>
          <w:b w:val="0"/>
          <w:i/>
          <w:u w:val="none"/>
        </w:rPr>
        <w:t>précédente</w:t>
      </w:r>
      <w:r w:rsidR="009E27E7" w:rsidRPr="009E27E7">
        <w:rPr>
          <w:b w:val="0"/>
          <w:noProof/>
          <w:u w:val="none"/>
        </w:rPr>
        <w:t>"</w:t>
      </w:r>
      <w:r w:rsidR="00383531">
        <w:rPr>
          <w:b w:val="0"/>
          <w:noProof/>
          <w:u w:val="none"/>
        </w:rPr>
        <w:t>.</w:t>
      </w:r>
      <w:r w:rsidR="009E27E7">
        <w:rPr>
          <w:b w:val="0"/>
          <w:noProof/>
          <w:u w:val="none"/>
        </w:rPr>
        <w:t xml:space="preserve"> A</w:t>
      </w:r>
      <w:r w:rsidR="00D27D8C">
        <w:rPr>
          <w:b w:val="0"/>
          <w:noProof/>
          <w:u w:val="none"/>
        </w:rPr>
        <w:t xml:space="preserve">insi </w:t>
      </w:r>
      <w:r w:rsidR="009E27E7">
        <w:rPr>
          <w:b w:val="0"/>
          <w:noProof/>
          <w:u w:val="none"/>
        </w:rPr>
        <w:t>l'UE dénie aux pays d'AO le droit à des sauvegardes basées sur la baisse des prix</w:t>
      </w:r>
      <w:r w:rsidR="0039242A">
        <w:rPr>
          <w:b w:val="0"/>
          <w:noProof/>
          <w:u w:val="none"/>
        </w:rPr>
        <w:t>, droit</w:t>
      </w:r>
      <w:r>
        <w:rPr>
          <w:b w:val="0"/>
          <w:noProof/>
          <w:u w:val="none"/>
        </w:rPr>
        <w:t xml:space="preserve"> qu'elle se réserve à elle seule</w:t>
      </w:r>
      <w:r w:rsidR="009E27E7">
        <w:rPr>
          <w:b w:val="0"/>
          <w:noProof/>
          <w:u w:val="none"/>
        </w:rPr>
        <w:t xml:space="preserve">. </w:t>
      </w:r>
    </w:p>
    <w:p w:rsidR="005A0354" w:rsidRDefault="005A0354" w:rsidP="00EB38AD">
      <w:pPr>
        <w:tabs>
          <w:tab w:val="left" w:pos="142"/>
        </w:tabs>
        <w:autoSpaceDE w:val="0"/>
        <w:autoSpaceDN w:val="0"/>
        <w:adjustRightInd w:val="0"/>
        <w:spacing w:after="0" w:line="240" w:lineRule="auto"/>
        <w:jc w:val="both"/>
        <w:rPr>
          <w:rFonts w:ascii="Times New Roman" w:hAnsi="Times New Roman" w:cs="Times New Roman"/>
          <w:sz w:val="24"/>
          <w:szCs w:val="24"/>
        </w:rPr>
      </w:pPr>
    </w:p>
    <w:p w:rsidR="005A0354" w:rsidRPr="004D52E4" w:rsidRDefault="005A0354" w:rsidP="005A0354">
      <w:pPr>
        <w:autoSpaceDE w:val="0"/>
        <w:autoSpaceDN w:val="0"/>
        <w:adjustRightInd w:val="0"/>
        <w:spacing w:after="0" w:line="240" w:lineRule="auto"/>
        <w:jc w:val="both"/>
      </w:pPr>
      <w:r>
        <w:rPr>
          <w:rFonts w:ascii="Times New Roman" w:hAnsi="Times New Roman" w:cs="Times New Roman"/>
          <w:sz w:val="24"/>
          <w:szCs w:val="24"/>
        </w:rPr>
        <w:t xml:space="preserve">Si les mesures de sauvegarde </w:t>
      </w:r>
      <w:r w:rsidR="00D27D8C">
        <w:rPr>
          <w:rFonts w:ascii="Times New Roman" w:hAnsi="Times New Roman" w:cs="Times New Roman"/>
          <w:sz w:val="24"/>
          <w:szCs w:val="24"/>
        </w:rPr>
        <w:t xml:space="preserve">de l'APE </w:t>
      </w:r>
      <w:r>
        <w:rPr>
          <w:rFonts w:ascii="Times New Roman" w:hAnsi="Times New Roman" w:cs="Times New Roman"/>
          <w:sz w:val="24"/>
          <w:szCs w:val="24"/>
        </w:rPr>
        <w:t xml:space="preserve">pourraient être appliquées pendant au plus 4 ans, voire une seconde période de 4 ans, </w:t>
      </w:r>
      <w:r w:rsidRPr="005A0354">
        <w:rPr>
          <w:rFonts w:ascii="Times New Roman" w:hAnsi="Times New Roman" w:cs="Times New Roman"/>
          <w:sz w:val="24"/>
          <w:szCs w:val="24"/>
        </w:rPr>
        <w:t>la FAO a montré que "</w:t>
      </w:r>
      <w:r w:rsidRPr="005A0354">
        <w:rPr>
          <w:rFonts w:ascii="Times New Roman" w:hAnsi="Times New Roman" w:cs="Times New Roman"/>
          <w:i/>
          <w:sz w:val="24"/>
          <w:szCs w:val="24"/>
        </w:rPr>
        <w:t>Il y a certains cas où la CSS a été déclenchée pour certains produits sur une base quasi permanente, c'est-à-dire chaque année depuis 1995</w:t>
      </w:r>
      <w:r w:rsidRPr="005A0354">
        <w:rPr>
          <w:rFonts w:ascii="Times New Roman" w:hAnsi="Times New Roman" w:cs="Times New Roman"/>
          <w:sz w:val="24"/>
          <w:szCs w:val="24"/>
        </w:rPr>
        <w:t xml:space="preserve">". La nécessité de déclencher aussi dans l'APE une sauvegarde liée à la chute des prix à l'importation est d'autant plus justifiée que l'UE a abaissé artificiellement ses prix intérieurs </w:t>
      </w:r>
      <w:r w:rsidR="0090229E">
        <w:rPr>
          <w:rFonts w:ascii="Times New Roman" w:hAnsi="Times New Roman" w:cs="Times New Roman"/>
          <w:sz w:val="24"/>
          <w:szCs w:val="24"/>
        </w:rPr>
        <w:t xml:space="preserve">depuis 1993 </w:t>
      </w:r>
      <w:r w:rsidRPr="005A0354">
        <w:rPr>
          <w:rFonts w:ascii="Times New Roman" w:hAnsi="Times New Roman" w:cs="Times New Roman"/>
          <w:sz w:val="24"/>
          <w:szCs w:val="24"/>
        </w:rPr>
        <w:t>au moyen d'énormes subventions intérieures compensatrices de ces baisses</w:t>
      </w:r>
      <w:r>
        <w:rPr>
          <w:rFonts w:ascii="Times New Roman" w:hAnsi="Times New Roman" w:cs="Times New Roman"/>
          <w:sz w:val="24"/>
          <w:szCs w:val="24"/>
        </w:rPr>
        <w:t xml:space="preserve"> de prix</w:t>
      </w:r>
      <w:r w:rsidRPr="005A0354">
        <w:rPr>
          <w:rFonts w:ascii="Times New Roman" w:hAnsi="Times New Roman" w:cs="Times New Roman"/>
          <w:sz w:val="24"/>
          <w:szCs w:val="24"/>
        </w:rPr>
        <w:t>.</w:t>
      </w:r>
    </w:p>
    <w:p w:rsidR="005A0354" w:rsidRPr="004D52E4" w:rsidRDefault="005A0354" w:rsidP="005A0354">
      <w:pPr>
        <w:autoSpaceDE w:val="0"/>
        <w:autoSpaceDN w:val="0"/>
        <w:adjustRightInd w:val="0"/>
        <w:spacing w:after="0" w:line="240" w:lineRule="auto"/>
        <w:jc w:val="both"/>
      </w:pPr>
    </w:p>
    <w:p w:rsidR="003441D3" w:rsidRDefault="00D27D8C" w:rsidP="003441D3">
      <w:pPr>
        <w:tabs>
          <w:tab w:val="left" w:pos="142"/>
        </w:tabs>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rPr>
        <w:t xml:space="preserve">En outre </w:t>
      </w:r>
      <w:r w:rsidR="002F4727">
        <w:rPr>
          <w:rFonts w:ascii="Times New Roman" w:hAnsi="Times New Roman" w:cs="Times New Roman"/>
          <w:sz w:val="24"/>
          <w:szCs w:val="24"/>
        </w:rPr>
        <w:t xml:space="preserve">les </w:t>
      </w:r>
      <w:r w:rsidR="002804BC">
        <w:rPr>
          <w:rFonts w:ascii="Times New Roman" w:hAnsi="Times New Roman" w:cs="Times New Roman"/>
          <w:sz w:val="24"/>
          <w:szCs w:val="24"/>
        </w:rPr>
        <w:t xml:space="preserve">mesures de </w:t>
      </w:r>
      <w:r w:rsidR="002F4727">
        <w:rPr>
          <w:rFonts w:ascii="Times New Roman" w:hAnsi="Times New Roman" w:cs="Times New Roman"/>
          <w:sz w:val="24"/>
          <w:szCs w:val="24"/>
        </w:rPr>
        <w:t>sauvegarde</w:t>
      </w:r>
      <w:r w:rsidR="002804BC">
        <w:rPr>
          <w:rFonts w:ascii="Times New Roman" w:hAnsi="Times New Roman" w:cs="Times New Roman"/>
          <w:sz w:val="24"/>
          <w:szCs w:val="24"/>
        </w:rPr>
        <w:t xml:space="preserve"> </w:t>
      </w:r>
      <w:r w:rsidR="00535DA7">
        <w:rPr>
          <w:rFonts w:ascii="Times New Roman" w:hAnsi="Times New Roman" w:cs="Times New Roman"/>
          <w:sz w:val="24"/>
          <w:szCs w:val="24"/>
        </w:rPr>
        <w:t xml:space="preserve">créées </w:t>
      </w:r>
      <w:r w:rsidR="002F4727">
        <w:rPr>
          <w:rFonts w:ascii="Times New Roman" w:hAnsi="Times New Roman" w:cs="Times New Roman"/>
          <w:sz w:val="24"/>
          <w:szCs w:val="24"/>
        </w:rPr>
        <w:t xml:space="preserve">par la CEDEAO </w:t>
      </w:r>
      <w:r w:rsidR="00535DA7">
        <w:rPr>
          <w:rFonts w:ascii="Times New Roman" w:hAnsi="Times New Roman" w:cs="Times New Roman"/>
          <w:sz w:val="24"/>
          <w:szCs w:val="24"/>
        </w:rPr>
        <w:t xml:space="preserve">en octobre 2013 </w:t>
      </w:r>
      <w:r w:rsidR="003441D3">
        <w:rPr>
          <w:rFonts w:ascii="Times New Roman" w:hAnsi="Times New Roman" w:cs="Times New Roman"/>
          <w:sz w:val="24"/>
          <w:szCs w:val="24"/>
        </w:rPr>
        <w:t xml:space="preserve">sont </w:t>
      </w:r>
      <w:r w:rsidR="002F4727">
        <w:rPr>
          <w:rFonts w:ascii="Times New Roman" w:hAnsi="Times New Roman" w:cs="Times New Roman"/>
          <w:sz w:val="24"/>
          <w:szCs w:val="24"/>
        </w:rPr>
        <w:t>contradictoires avec celles de l'APE</w:t>
      </w:r>
      <w:r w:rsidR="00535DA7">
        <w:rPr>
          <w:rFonts w:ascii="Times New Roman" w:hAnsi="Times New Roman" w:cs="Times New Roman"/>
          <w:sz w:val="24"/>
          <w:szCs w:val="24"/>
        </w:rPr>
        <w:t xml:space="preserve"> </w:t>
      </w:r>
      <w:r>
        <w:rPr>
          <w:rFonts w:ascii="Times New Roman" w:hAnsi="Times New Roman" w:cs="Times New Roman"/>
          <w:sz w:val="24"/>
          <w:szCs w:val="24"/>
        </w:rPr>
        <w:t xml:space="preserve">et ne pourraient être mises en oeuvre, une contradiction </w:t>
      </w:r>
      <w:r w:rsidR="003441D3">
        <w:rPr>
          <w:rFonts w:ascii="Times New Roman" w:hAnsi="Times New Roman" w:cs="Times New Roman"/>
          <w:sz w:val="24"/>
          <w:szCs w:val="24"/>
        </w:rPr>
        <w:t xml:space="preserve">qui a échappé aux Chefs d'Etat ayant paraphé l'APE. </w:t>
      </w:r>
      <w:r w:rsidR="003441D3" w:rsidRPr="002804BC">
        <w:rPr>
          <w:rFonts w:ascii="Times New Roman" w:hAnsi="Times New Roman" w:cs="Times New Roman"/>
          <w:bCs/>
          <w:sz w:val="24"/>
          <w:szCs w:val="24"/>
        </w:rPr>
        <w:t xml:space="preserve">Un règlement CEDEAO du 30 septembre 2013 a </w:t>
      </w:r>
      <w:r w:rsidR="003441D3">
        <w:rPr>
          <w:rFonts w:ascii="Times New Roman" w:hAnsi="Times New Roman" w:cs="Times New Roman"/>
          <w:bCs/>
          <w:sz w:val="24"/>
          <w:szCs w:val="24"/>
        </w:rPr>
        <w:t xml:space="preserve">en effet </w:t>
      </w:r>
      <w:r w:rsidR="003441D3" w:rsidRPr="002804BC">
        <w:rPr>
          <w:rFonts w:ascii="Times New Roman" w:hAnsi="Times New Roman" w:cs="Times New Roman"/>
          <w:bCs/>
          <w:sz w:val="24"/>
          <w:szCs w:val="24"/>
        </w:rPr>
        <w:t xml:space="preserve">créé 2 </w:t>
      </w:r>
      <w:r w:rsidR="003441D3">
        <w:rPr>
          <w:rFonts w:ascii="Times New Roman" w:hAnsi="Times New Roman" w:cs="Times New Roman"/>
          <w:bCs/>
          <w:sz w:val="24"/>
          <w:szCs w:val="24"/>
        </w:rPr>
        <w:t>sauvegardes</w:t>
      </w:r>
      <w:r w:rsidR="003441D3" w:rsidRPr="002804BC">
        <w:rPr>
          <w:rFonts w:ascii="Times New Roman" w:hAnsi="Times New Roman" w:cs="Times New Roman"/>
          <w:bCs/>
          <w:sz w:val="24"/>
          <w:szCs w:val="24"/>
        </w:rPr>
        <w:t xml:space="preserve"> : </w:t>
      </w:r>
      <w:r w:rsidR="003441D3" w:rsidRPr="002804BC">
        <w:rPr>
          <w:rFonts w:ascii="Times New Roman" w:hAnsi="Times New Roman" w:cs="Times New Roman"/>
          <w:bCs/>
          <w:sz w:val="24"/>
          <w:szCs w:val="24"/>
          <w:lang w:val="en-US"/>
        </w:rPr>
        <w:t xml:space="preserve">la Taxe Complémentaire de Protection </w:t>
      </w:r>
      <w:r w:rsidR="003441D3">
        <w:rPr>
          <w:rFonts w:ascii="Times New Roman" w:hAnsi="Times New Roman" w:cs="Times New Roman"/>
          <w:bCs/>
          <w:sz w:val="24"/>
          <w:szCs w:val="24"/>
        </w:rPr>
        <w:t xml:space="preserve">(TCP) et </w:t>
      </w:r>
      <w:r w:rsidR="003441D3" w:rsidRPr="002804BC">
        <w:rPr>
          <w:rFonts w:ascii="Times New Roman" w:hAnsi="Times New Roman" w:cs="Times New Roman"/>
          <w:bCs/>
          <w:sz w:val="24"/>
          <w:szCs w:val="24"/>
        </w:rPr>
        <w:t xml:space="preserve">la </w:t>
      </w:r>
      <w:r w:rsidR="003441D3" w:rsidRPr="002804BC">
        <w:rPr>
          <w:rFonts w:ascii="Times New Roman" w:hAnsi="Times New Roman" w:cs="Times New Roman"/>
          <w:bCs/>
          <w:sz w:val="24"/>
          <w:szCs w:val="24"/>
          <w:lang w:val="en-US"/>
        </w:rPr>
        <w:t>Taxe d'Ajustement à l'Importation (TAI)</w:t>
      </w:r>
      <w:r w:rsidR="003441D3">
        <w:rPr>
          <w:rFonts w:ascii="Times New Roman" w:hAnsi="Times New Roman" w:cs="Times New Roman"/>
          <w:bCs/>
          <w:sz w:val="24"/>
          <w:szCs w:val="24"/>
          <w:lang w:val="en-US"/>
        </w:rPr>
        <w:t>. Qui plus est ces nouvelles mesures de sauvegarde de la CEDEAO sont plus faibles que celles adoptées intialement par l'UEMOA.</w:t>
      </w:r>
    </w:p>
    <w:p w:rsidR="003441D3" w:rsidRDefault="003441D3" w:rsidP="003441D3">
      <w:pPr>
        <w:tabs>
          <w:tab w:val="left" w:pos="142"/>
        </w:tabs>
        <w:autoSpaceDE w:val="0"/>
        <w:autoSpaceDN w:val="0"/>
        <w:adjustRightInd w:val="0"/>
        <w:spacing w:after="0" w:line="240" w:lineRule="auto"/>
        <w:jc w:val="both"/>
        <w:rPr>
          <w:rFonts w:ascii="Times New Roman" w:hAnsi="Times New Roman" w:cs="Times New Roman"/>
          <w:bCs/>
          <w:sz w:val="24"/>
          <w:szCs w:val="24"/>
          <w:lang w:val="en-US"/>
        </w:rPr>
      </w:pPr>
    </w:p>
    <w:p w:rsidR="00857C6F" w:rsidRDefault="00857C6F" w:rsidP="00857C6F">
      <w:pPr>
        <w:tabs>
          <w:tab w:val="left" w:pos="142"/>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w:t>
      </w:r>
      <w:r w:rsidRPr="002804BC">
        <w:rPr>
          <w:rFonts w:ascii="Times New Roman" w:hAnsi="Times New Roman" w:cs="Times New Roman"/>
          <w:bCs/>
          <w:sz w:val="24"/>
          <w:szCs w:val="24"/>
        </w:rPr>
        <w:t xml:space="preserve"> </w:t>
      </w:r>
      <w:r w:rsidRPr="002804BC">
        <w:rPr>
          <w:rFonts w:ascii="Times New Roman" w:hAnsi="Times New Roman" w:cs="Times New Roman"/>
          <w:bCs/>
          <w:sz w:val="24"/>
          <w:szCs w:val="24"/>
          <w:lang w:val="en-US"/>
        </w:rPr>
        <w:t>Taxe d'Ajustement à l'Importation (TAI)</w:t>
      </w:r>
      <w:r>
        <w:rPr>
          <w:rFonts w:ascii="Times New Roman" w:hAnsi="Times New Roman" w:cs="Times New Roman"/>
          <w:bCs/>
          <w:sz w:val="24"/>
          <w:szCs w:val="24"/>
          <w:lang w:val="en-US"/>
        </w:rPr>
        <w:t xml:space="preserve"> ne pose pas vraiment de problème car c'est une taxe temporaire</w:t>
      </w:r>
      <w:r w:rsidR="003C3AE9">
        <w:rPr>
          <w:rFonts w:ascii="Times New Roman" w:hAnsi="Times New Roman" w:cs="Times New Roman"/>
          <w:bCs/>
          <w:sz w:val="24"/>
          <w:szCs w:val="24"/>
          <w:lang w:val="en-US"/>
        </w:rPr>
        <w:t>, au plus sur 5 ans,</w:t>
      </w:r>
      <w:r>
        <w:rPr>
          <w:rFonts w:ascii="Times New Roman" w:hAnsi="Times New Roman" w:cs="Times New Roman"/>
          <w:bCs/>
          <w:sz w:val="24"/>
          <w:szCs w:val="24"/>
          <w:lang w:val="en-US"/>
        </w:rPr>
        <w:t xml:space="preserve"> applicable lorsque </w:t>
      </w:r>
      <w:r w:rsidRPr="002804BC">
        <w:rPr>
          <w:rFonts w:ascii="Times New Roman" w:hAnsi="Times New Roman" w:cs="Times New Roman"/>
          <w:bCs/>
          <w:sz w:val="24"/>
          <w:szCs w:val="24"/>
        </w:rPr>
        <w:t>le DD NPF d'un E</w:t>
      </w:r>
      <w:r>
        <w:rPr>
          <w:rFonts w:ascii="Times New Roman" w:hAnsi="Times New Roman" w:cs="Times New Roman"/>
          <w:bCs/>
          <w:sz w:val="24"/>
          <w:szCs w:val="24"/>
        </w:rPr>
        <w:t xml:space="preserve">tat membre </w:t>
      </w:r>
      <w:r w:rsidRPr="002804BC">
        <w:rPr>
          <w:rFonts w:ascii="Times New Roman" w:hAnsi="Times New Roman" w:cs="Times New Roman"/>
          <w:bCs/>
          <w:sz w:val="24"/>
          <w:szCs w:val="24"/>
        </w:rPr>
        <w:t xml:space="preserve">est supérieur à celui du TEC et elle couvre l'écart entre les 2 taux de DD. </w:t>
      </w:r>
      <w:r>
        <w:rPr>
          <w:rFonts w:ascii="Times New Roman" w:hAnsi="Times New Roman" w:cs="Times New Roman"/>
          <w:bCs/>
          <w:sz w:val="24"/>
          <w:szCs w:val="24"/>
        </w:rPr>
        <w:t>En pratique cela concerne essentiellement le Nigéria et à un moindre égard le Ghana (notamment sur le riz). Toutefois l</w:t>
      </w:r>
      <w:r w:rsidRPr="002804BC">
        <w:rPr>
          <w:rFonts w:ascii="Times New Roman" w:hAnsi="Times New Roman" w:cs="Times New Roman"/>
          <w:bCs/>
          <w:sz w:val="24"/>
          <w:szCs w:val="24"/>
        </w:rPr>
        <w:t>a TAI est 2 fois moins protectrice que la TDP, Taxe Dégressive de Protection</w:t>
      </w:r>
      <w:r>
        <w:rPr>
          <w:rFonts w:ascii="Times New Roman" w:hAnsi="Times New Roman" w:cs="Times New Roman"/>
          <w:bCs/>
          <w:sz w:val="24"/>
          <w:szCs w:val="24"/>
        </w:rPr>
        <w:t>,</w:t>
      </w:r>
      <w:r w:rsidRPr="002804BC">
        <w:rPr>
          <w:rFonts w:ascii="Times New Roman" w:hAnsi="Times New Roman" w:cs="Times New Roman"/>
          <w:bCs/>
          <w:sz w:val="24"/>
          <w:szCs w:val="24"/>
        </w:rPr>
        <w:t xml:space="preserve"> </w:t>
      </w:r>
      <w:r>
        <w:rPr>
          <w:rFonts w:ascii="Times New Roman" w:hAnsi="Times New Roman" w:cs="Times New Roman"/>
          <w:bCs/>
          <w:sz w:val="24"/>
          <w:szCs w:val="24"/>
        </w:rPr>
        <w:t xml:space="preserve">qu'elle remplace.  </w:t>
      </w:r>
    </w:p>
    <w:p w:rsidR="003441D3" w:rsidRDefault="003441D3" w:rsidP="003441D3">
      <w:pPr>
        <w:tabs>
          <w:tab w:val="left" w:pos="142"/>
        </w:tabs>
        <w:autoSpaceDE w:val="0"/>
        <w:autoSpaceDN w:val="0"/>
        <w:adjustRightInd w:val="0"/>
        <w:spacing w:after="0" w:line="240" w:lineRule="auto"/>
        <w:jc w:val="both"/>
        <w:rPr>
          <w:rFonts w:ascii="Times New Roman" w:hAnsi="Times New Roman" w:cs="Times New Roman"/>
          <w:bCs/>
          <w:sz w:val="24"/>
          <w:szCs w:val="24"/>
        </w:rPr>
      </w:pPr>
    </w:p>
    <w:p w:rsidR="003A708F" w:rsidRDefault="002F4727" w:rsidP="002804BC">
      <w:pPr>
        <w:tabs>
          <w:tab w:val="left" w:pos="142"/>
        </w:tabs>
        <w:autoSpaceDE w:val="0"/>
        <w:autoSpaceDN w:val="0"/>
        <w:adjustRightInd w:val="0"/>
        <w:spacing w:after="0" w:line="240" w:lineRule="auto"/>
        <w:jc w:val="both"/>
        <w:rPr>
          <w:rFonts w:ascii="Times New Roman" w:hAnsi="Times New Roman" w:cs="Times New Roman"/>
          <w:bCs/>
          <w:sz w:val="24"/>
          <w:szCs w:val="24"/>
        </w:rPr>
      </w:pPr>
      <w:r w:rsidRPr="002804BC">
        <w:rPr>
          <w:rFonts w:ascii="Times New Roman" w:hAnsi="Times New Roman" w:cs="Times New Roman"/>
          <w:bCs/>
          <w:sz w:val="24"/>
          <w:szCs w:val="24"/>
        </w:rPr>
        <w:t xml:space="preserve">La </w:t>
      </w:r>
      <w:r w:rsidR="003A0B68" w:rsidRPr="002804BC">
        <w:rPr>
          <w:rFonts w:ascii="Times New Roman" w:hAnsi="Times New Roman" w:cs="Times New Roman"/>
          <w:bCs/>
          <w:sz w:val="24"/>
          <w:szCs w:val="24"/>
          <w:lang w:val="en-US"/>
        </w:rPr>
        <w:t xml:space="preserve">Taxe Complémentaire de Protection </w:t>
      </w:r>
      <w:r w:rsidR="003A0B68">
        <w:rPr>
          <w:rFonts w:ascii="Times New Roman" w:hAnsi="Times New Roman" w:cs="Times New Roman"/>
          <w:bCs/>
          <w:sz w:val="24"/>
          <w:szCs w:val="24"/>
        </w:rPr>
        <w:t xml:space="preserve">(TCP) </w:t>
      </w:r>
      <w:r w:rsidRPr="002804BC">
        <w:rPr>
          <w:rFonts w:ascii="Times New Roman" w:hAnsi="Times New Roman" w:cs="Times New Roman"/>
          <w:bCs/>
          <w:sz w:val="24"/>
          <w:szCs w:val="24"/>
        </w:rPr>
        <w:t xml:space="preserve">est déclenchée soit quand le volume importé est </w:t>
      </w:r>
      <w:r w:rsidR="002804BC">
        <w:rPr>
          <w:rFonts w:ascii="Times New Roman" w:hAnsi="Times New Roman" w:cs="Times New Roman"/>
          <w:bCs/>
          <w:sz w:val="24"/>
          <w:szCs w:val="24"/>
        </w:rPr>
        <w:t xml:space="preserve">supérieur </w:t>
      </w:r>
      <w:r w:rsidRPr="002804BC">
        <w:rPr>
          <w:rFonts w:ascii="Times New Roman" w:hAnsi="Times New Roman" w:cs="Times New Roman"/>
          <w:bCs/>
          <w:sz w:val="24"/>
          <w:szCs w:val="24"/>
        </w:rPr>
        <w:t>d'au moins</w:t>
      </w:r>
      <w:r w:rsidR="002804BC">
        <w:rPr>
          <w:rFonts w:ascii="Times New Roman" w:hAnsi="Times New Roman" w:cs="Times New Roman"/>
          <w:bCs/>
          <w:sz w:val="24"/>
          <w:szCs w:val="24"/>
        </w:rPr>
        <w:t xml:space="preserve"> </w:t>
      </w:r>
      <w:r w:rsidRPr="002804BC">
        <w:rPr>
          <w:rFonts w:ascii="Times New Roman" w:hAnsi="Times New Roman" w:cs="Times New Roman"/>
          <w:bCs/>
          <w:sz w:val="24"/>
          <w:szCs w:val="24"/>
        </w:rPr>
        <w:t xml:space="preserve">25% au volume moyen importé </w:t>
      </w:r>
      <w:r w:rsidR="00383531">
        <w:rPr>
          <w:rFonts w:ascii="Times New Roman" w:hAnsi="Times New Roman" w:cs="Times New Roman"/>
          <w:bCs/>
          <w:sz w:val="24"/>
          <w:szCs w:val="24"/>
        </w:rPr>
        <w:t xml:space="preserve">sous le régime </w:t>
      </w:r>
      <w:r w:rsidRPr="002804BC">
        <w:rPr>
          <w:rFonts w:ascii="Times New Roman" w:hAnsi="Times New Roman" w:cs="Times New Roman"/>
          <w:bCs/>
          <w:sz w:val="24"/>
          <w:szCs w:val="24"/>
        </w:rPr>
        <w:t xml:space="preserve">NPF </w:t>
      </w:r>
      <w:r w:rsidR="002804BC">
        <w:rPr>
          <w:rFonts w:ascii="Times New Roman" w:hAnsi="Times New Roman" w:cs="Times New Roman"/>
          <w:bCs/>
          <w:sz w:val="24"/>
          <w:szCs w:val="24"/>
        </w:rPr>
        <w:t xml:space="preserve">(de la nation la plus favorisée, c'est-à-dire </w:t>
      </w:r>
      <w:r w:rsidR="00552C1B">
        <w:rPr>
          <w:rFonts w:ascii="Times New Roman" w:hAnsi="Times New Roman" w:cs="Times New Roman"/>
          <w:bCs/>
          <w:sz w:val="24"/>
          <w:szCs w:val="24"/>
        </w:rPr>
        <w:t xml:space="preserve">avec </w:t>
      </w:r>
      <w:r w:rsidR="00383531">
        <w:rPr>
          <w:rFonts w:ascii="Times New Roman" w:hAnsi="Times New Roman" w:cs="Times New Roman"/>
          <w:bCs/>
          <w:sz w:val="24"/>
          <w:szCs w:val="24"/>
        </w:rPr>
        <w:t>les</w:t>
      </w:r>
      <w:r w:rsidR="002804BC">
        <w:rPr>
          <w:rFonts w:ascii="Times New Roman" w:hAnsi="Times New Roman" w:cs="Times New Roman"/>
          <w:bCs/>
          <w:sz w:val="24"/>
          <w:szCs w:val="24"/>
        </w:rPr>
        <w:t xml:space="preserve"> DD </w:t>
      </w:r>
      <w:r w:rsidR="0039242A">
        <w:rPr>
          <w:rFonts w:ascii="Times New Roman" w:hAnsi="Times New Roman" w:cs="Times New Roman"/>
          <w:bCs/>
          <w:sz w:val="24"/>
          <w:szCs w:val="24"/>
        </w:rPr>
        <w:t xml:space="preserve">frappant les </w:t>
      </w:r>
      <w:r w:rsidR="00383531">
        <w:rPr>
          <w:rFonts w:ascii="Times New Roman" w:hAnsi="Times New Roman" w:cs="Times New Roman"/>
          <w:bCs/>
          <w:sz w:val="24"/>
          <w:szCs w:val="24"/>
        </w:rPr>
        <w:t>pays ne</w:t>
      </w:r>
      <w:r w:rsidR="002804BC">
        <w:rPr>
          <w:rFonts w:ascii="Times New Roman" w:hAnsi="Times New Roman" w:cs="Times New Roman"/>
          <w:bCs/>
          <w:sz w:val="24"/>
          <w:szCs w:val="24"/>
        </w:rPr>
        <w:t xml:space="preserve"> bénéficiant pas de préférences tarifaires) </w:t>
      </w:r>
      <w:r w:rsidRPr="002804BC">
        <w:rPr>
          <w:rFonts w:ascii="Times New Roman" w:hAnsi="Times New Roman" w:cs="Times New Roman"/>
          <w:bCs/>
          <w:sz w:val="24"/>
          <w:szCs w:val="24"/>
        </w:rPr>
        <w:t>les 3 dernières années,</w:t>
      </w:r>
      <w:r w:rsidR="002804BC">
        <w:rPr>
          <w:rFonts w:ascii="Times New Roman" w:hAnsi="Times New Roman" w:cs="Times New Roman"/>
          <w:bCs/>
          <w:sz w:val="24"/>
          <w:szCs w:val="24"/>
        </w:rPr>
        <w:t xml:space="preserve"> </w:t>
      </w:r>
      <w:r w:rsidRPr="002804BC">
        <w:rPr>
          <w:rFonts w:ascii="Times New Roman" w:hAnsi="Times New Roman" w:cs="Times New Roman"/>
          <w:bCs/>
          <w:sz w:val="24"/>
          <w:szCs w:val="24"/>
        </w:rPr>
        <w:t xml:space="preserve">soit quand le prix CAF </w:t>
      </w:r>
      <w:r w:rsidR="00552C1B">
        <w:rPr>
          <w:rFonts w:ascii="Times New Roman" w:hAnsi="Times New Roman" w:cs="Times New Roman"/>
          <w:bCs/>
          <w:sz w:val="24"/>
          <w:szCs w:val="24"/>
        </w:rPr>
        <w:t xml:space="preserve">(prix à l'importation) </w:t>
      </w:r>
      <w:r w:rsidRPr="002804BC">
        <w:rPr>
          <w:rFonts w:ascii="Times New Roman" w:hAnsi="Times New Roman" w:cs="Times New Roman"/>
          <w:bCs/>
          <w:sz w:val="24"/>
          <w:szCs w:val="24"/>
        </w:rPr>
        <w:t xml:space="preserve">NPF devient </w:t>
      </w:r>
      <w:r w:rsidR="002804BC">
        <w:rPr>
          <w:rFonts w:ascii="Times New Roman" w:hAnsi="Times New Roman" w:cs="Times New Roman"/>
          <w:bCs/>
          <w:sz w:val="24"/>
          <w:szCs w:val="24"/>
        </w:rPr>
        <w:t xml:space="preserve">inférieur </w:t>
      </w:r>
      <w:r w:rsidRPr="002804BC">
        <w:rPr>
          <w:rFonts w:ascii="Times New Roman" w:hAnsi="Times New Roman" w:cs="Times New Roman"/>
          <w:bCs/>
          <w:sz w:val="24"/>
          <w:szCs w:val="24"/>
        </w:rPr>
        <w:t xml:space="preserve">à 80% du prix CAF </w:t>
      </w:r>
      <w:r w:rsidR="00383531">
        <w:rPr>
          <w:rFonts w:ascii="Times New Roman" w:hAnsi="Times New Roman" w:cs="Times New Roman"/>
          <w:bCs/>
          <w:sz w:val="24"/>
          <w:szCs w:val="24"/>
        </w:rPr>
        <w:t xml:space="preserve">NPF </w:t>
      </w:r>
      <w:r w:rsidRPr="002804BC">
        <w:rPr>
          <w:rFonts w:ascii="Times New Roman" w:hAnsi="Times New Roman" w:cs="Times New Roman"/>
          <w:bCs/>
          <w:sz w:val="24"/>
          <w:szCs w:val="24"/>
        </w:rPr>
        <w:t xml:space="preserve">des 3 dernières années. </w:t>
      </w:r>
      <w:r w:rsidR="002804BC">
        <w:rPr>
          <w:rFonts w:ascii="Times New Roman" w:hAnsi="Times New Roman" w:cs="Times New Roman"/>
          <w:bCs/>
          <w:sz w:val="24"/>
          <w:szCs w:val="24"/>
        </w:rPr>
        <w:t xml:space="preserve">Le niveau de  la TCP est décidé </w:t>
      </w:r>
      <w:r w:rsidRPr="002804BC">
        <w:rPr>
          <w:rFonts w:ascii="Times New Roman" w:hAnsi="Times New Roman" w:cs="Times New Roman"/>
          <w:bCs/>
          <w:sz w:val="24"/>
          <w:szCs w:val="24"/>
        </w:rPr>
        <w:t>par l'E</w:t>
      </w:r>
      <w:r w:rsidR="002804BC">
        <w:rPr>
          <w:rFonts w:ascii="Times New Roman" w:hAnsi="Times New Roman" w:cs="Times New Roman"/>
          <w:bCs/>
          <w:sz w:val="24"/>
          <w:szCs w:val="24"/>
        </w:rPr>
        <w:t xml:space="preserve">tat membre </w:t>
      </w:r>
      <w:r w:rsidR="00535DA7">
        <w:rPr>
          <w:rFonts w:ascii="Times New Roman" w:hAnsi="Times New Roman" w:cs="Times New Roman"/>
          <w:bCs/>
          <w:sz w:val="24"/>
          <w:szCs w:val="24"/>
        </w:rPr>
        <w:t xml:space="preserve">et </w:t>
      </w:r>
      <w:r w:rsidR="00D608CA">
        <w:rPr>
          <w:rFonts w:ascii="Times New Roman" w:hAnsi="Times New Roman" w:cs="Times New Roman"/>
          <w:bCs/>
          <w:sz w:val="24"/>
          <w:szCs w:val="24"/>
        </w:rPr>
        <w:t xml:space="preserve">peut aller jusqu'à 70% du prix CAF mais sans pouvoir excéder </w:t>
      </w:r>
      <w:r w:rsidR="00383531">
        <w:rPr>
          <w:rFonts w:ascii="Times New Roman" w:hAnsi="Times New Roman" w:cs="Times New Roman"/>
          <w:bCs/>
          <w:sz w:val="24"/>
          <w:szCs w:val="24"/>
        </w:rPr>
        <w:t>le</w:t>
      </w:r>
      <w:r w:rsidR="00D608CA">
        <w:rPr>
          <w:rFonts w:ascii="Times New Roman" w:hAnsi="Times New Roman" w:cs="Times New Roman"/>
          <w:bCs/>
          <w:sz w:val="24"/>
          <w:szCs w:val="24"/>
        </w:rPr>
        <w:t xml:space="preserve"> </w:t>
      </w:r>
      <w:r w:rsidRPr="002804BC">
        <w:rPr>
          <w:rFonts w:ascii="Times New Roman" w:hAnsi="Times New Roman" w:cs="Times New Roman"/>
          <w:bCs/>
          <w:sz w:val="24"/>
          <w:szCs w:val="24"/>
        </w:rPr>
        <w:t xml:space="preserve">DD consolidé à l'OMC. </w:t>
      </w:r>
      <w:r w:rsidR="00552C1B">
        <w:rPr>
          <w:rFonts w:ascii="Times New Roman" w:hAnsi="Times New Roman" w:cs="Times New Roman"/>
          <w:bCs/>
          <w:sz w:val="24"/>
          <w:szCs w:val="24"/>
        </w:rPr>
        <w:t xml:space="preserve">Par contre </w:t>
      </w:r>
      <w:r w:rsidR="00D608CA">
        <w:rPr>
          <w:rFonts w:ascii="Times New Roman" w:hAnsi="Times New Roman" w:cs="Times New Roman"/>
          <w:bCs/>
          <w:sz w:val="24"/>
          <w:szCs w:val="24"/>
        </w:rPr>
        <w:t>la CSS de l'UE lui permet de dépasse</w:t>
      </w:r>
      <w:r w:rsidR="00383531">
        <w:rPr>
          <w:rFonts w:ascii="Times New Roman" w:hAnsi="Times New Roman" w:cs="Times New Roman"/>
          <w:bCs/>
          <w:sz w:val="24"/>
          <w:szCs w:val="24"/>
        </w:rPr>
        <w:t>r</w:t>
      </w:r>
      <w:r w:rsidR="00D608CA">
        <w:rPr>
          <w:rFonts w:ascii="Times New Roman" w:hAnsi="Times New Roman" w:cs="Times New Roman"/>
          <w:bCs/>
          <w:sz w:val="24"/>
          <w:szCs w:val="24"/>
        </w:rPr>
        <w:t xml:space="preserve"> d'un tiers </w:t>
      </w:r>
      <w:r w:rsidR="00383531">
        <w:rPr>
          <w:rFonts w:ascii="Times New Roman" w:hAnsi="Times New Roman" w:cs="Times New Roman"/>
          <w:bCs/>
          <w:sz w:val="24"/>
          <w:szCs w:val="24"/>
        </w:rPr>
        <w:t>le</w:t>
      </w:r>
      <w:r w:rsidR="00D608CA">
        <w:rPr>
          <w:rFonts w:ascii="Times New Roman" w:hAnsi="Times New Roman" w:cs="Times New Roman"/>
          <w:bCs/>
          <w:sz w:val="24"/>
          <w:szCs w:val="24"/>
        </w:rPr>
        <w:t xml:space="preserve"> DD consolidé. </w:t>
      </w:r>
      <w:r w:rsidR="00535DA7">
        <w:rPr>
          <w:rFonts w:ascii="Times New Roman" w:hAnsi="Times New Roman" w:cs="Times New Roman"/>
          <w:bCs/>
          <w:sz w:val="24"/>
          <w:szCs w:val="24"/>
        </w:rPr>
        <w:t>L</w:t>
      </w:r>
      <w:r w:rsidRPr="002804BC">
        <w:rPr>
          <w:rFonts w:ascii="Times New Roman" w:hAnsi="Times New Roman" w:cs="Times New Roman"/>
          <w:bCs/>
          <w:sz w:val="24"/>
          <w:szCs w:val="24"/>
        </w:rPr>
        <w:t>a TCP peut être maintenue au plus 2 ans si déclenchée par hausse du volume et au plus un an si déclenchée par baisse du prix.</w:t>
      </w:r>
      <w:r w:rsidRPr="002804BC">
        <w:rPr>
          <w:rFonts w:ascii="Times New Roman" w:hAnsi="Times New Roman" w:cs="Times New Roman"/>
          <w:bCs/>
          <w:sz w:val="24"/>
          <w:szCs w:val="24"/>
          <w:lang w:val="en-US"/>
        </w:rPr>
        <w:t xml:space="preserve"> </w:t>
      </w:r>
      <w:r w:rsidR="002804BC">
        <w:rPr>
          <w:rFonts w:ascii="Times New Roman" w:hAnsi="Times New Roman" w:cs="Times New Roman"/>
          <w:bCs/>
          <w:sz w:val="24"/>
          <w:szCs w:val="24"/>
          <w:lang w:val="en-US"/>
        </w:rPr>
        <w:t>P</w:t>
      </w:r>
      <w:r w:rsidRPr="002804BC">
        <w:rPr>
          <w:rFonts w:ascii="Times New Roman" w:hAnsi="Times New Roman" w:cs="Times New Roman"/>
          <w:bCs/>
          <w:sz w:val="24"/>
          <w:szCs w:val="24"/>
        </w:rPr>
        <w:t>uisque la hausse de volume ou la baisse du prix sont calculées par rapport à la moyenne des 3 dernières</w:t>
      </w:r>
      <w:r w:rsidR="002804BC">
        <w:rPr>
          <w:rFonts w:ascii="Times New Roman" w:hAnsi="Times New Roman" w:cs="Times New Roman"/>
          <w:bCs/>
          <w:sz w:val="24"/>
          <w:szCs w:val="24"/>
        </w:rPr>
        <w:t xml:space="preserve"> </w:t>
      </w:r>
      <w:r w:rsidRPr="002804BC">
        <w:rPr>
          <w:rFonts w:ascii="Times New Roman" w:hAnsi="Times New Roman" w:cs="Times New Roman"/>
          <w:bCs/>
          <w:sz w:val="24"/>
          <w:szCs w:val="24"/>
        </w:rPr>
        <w:t>années une hausse de volume de 100% sur la 3è année ne permet pas d'a</w:t>
      </w:r>
      <w:r w:rsidR="00383531">
        <w:rPr>
          <w:rFonts w:ascii="Times New Roman" w:hAnsi="Times New Roman" w:cs="Times New Roman"/>
          <w:bCs/>
          <w:sz w:val="24"/>
          <w:szCs w:val="24"/>
        </w:rPr>
        <w:t>ctionner la TCP</w:t>
      </w:r>
      <w:r w:rsidRPr="002804BC">
        <w:rPr>
          <w:rFonts w:ascii="Times New Roman" w:hAnsi="Times New Roman" w:cs="Times New Roman"/>
          <w:bCs/>
          <w:sz w:val="24"/>
          <w:szCs w:val="24"/>
        </w:rPr>
        <w:t xml:space="preserve"> si le volume a fortement baissé par rapport aux 2 premières années. </w:t>
      </w:r>
      <w:r w:rsidR="00535DA7">
        <w:rPr>
          <w:rFonts w:ascii="Times New Roman" w:hAnsi="Times New Roman" w:cs="Times New Roman"/>
          <w:bCs/>
          <w:sz w:val="24"/>
          <w:szCs w:val="24"/>
        </w:rPr>
        <w:t xml:space="preserve">Et inversement </w:t>
      </w:r>
      <w:r w:rsidRPr="002804BC">
        <w:rPr>
          <w:rFonts w:ascii="Times New Roman" w:hAnsi="Times New Roman" w:cs="Times New Roman"/>
          <w:bCs/>
          <w:sz w:val="24"/>
          <w:szCs w:val="24"/>
        </w:rPr>
        <w:t>pour la baisse du prix.</w:t>
      </w:r>
      <w:r w:rsidR="002804BC">
        <w:rPr>
          <w:rFonts w:ascii="Times New Roman" w:hAnsi="Times New Roman" w:cs="Times New Roman"/>
          <w:bCs/>
          <w:sz w:val="24"/>
          <w:szCs w:val="24"/>
        </w:rPr>
        <w:t xml:space="preserve"> </w:t>
      </w:r>
      <w:r w:rsidR="002804BC" w:rsidRPr="002804BC">
        <w:rPr>
          <w:rFonts w:ascii="Times New Roman" w:hAnsi="Times New Roman" w:cs="Times New Roman"/>
          <w:bCs/>
          <w:sz w:val="24"/>
          <w:szCs w:val="24"/>
        </w:rPr>
        <w:t>Au moins la TSI (Taxe de Sauvegarde à l'Importation) que remplace la TCP était déclenchée par rapport aux 6 mois antérieurs, même si la TCP n'exige qu'une hausse de 25%</w:t>
      </w:r>
      <w:r w:rsidR="002804BC">
        <w:rPr>
          <w:rFonts w:ascii="Times New Roman" w:hAnsi="Times New Roman" w:cs="Times New Roman"/>
          <w:bCs/>
          <w:sz w:val="24"/>
          <w:szCs w:val="24"/>
        </w:rPr>
        <w:t xml:space="preserve"> </w:t>
      </w:r>
      <w:r w:rsidR="002804BC" w:rsidRPr="002804BC">
        <w:rPr>
          <w:rFonts w:ascii="Times New Roman" w:hAnsi="Times New Roman" w:cs="Times New Roman"/>
          <w:bCs/>
          <w:sz w:val="24"/>
          <w:szCs w:val="24"/>
        </w:rPr>
        <w:t xml:space="preserve">du volume importé contre 50% pour la TSI. </w:t>
      </w:r>
      <w:r w:rsidR="003A0B68">
        <w:rPr>
          <w:rFonts w:ascii="Times New Roman" w:hAnsi="Times New Roman" w:cs="Times New Roman"/>
          <w:bCs/>
          <w:sz w:val="24"/>
          <w:szCs w:val="24"/>
        </w:rPr>
        <w:t>L</w:t>
      </w:r>
      <w:r w:rsidR="003C3AE9">
        <w:rPr>
          <w:rFonts w:ascii="Times New Roman" w:hAnsi="Times New Roman" w:cs="Times New Roman"/>
          <w:bCs/>
          <w:sz w:val="24"/>
          <w:szCs w:val="24"/>
        </w:rPr>
        <w:t xml:space="preserve">'APE ne permettrait donc pas de déclencher la TCP en cas de baisse des prix, une faiblesse particulièrement grave en cette période de très forte volatilité des prix agricoles mondiaux libellés généralement en dollars, et accentuée par la forte volatilité des taux de change notamment entre l'euro (donc le franc CFA) et le dollar.   </w:t>
      </w:r>
    </w:p>
    <w:p w:rsidR="006C48B5" w:rsidRDefault="006C48B5" w:rsidP="002804BC">
      <w:pPr>
        <w:tabs>
          <w:tab w:val="left" w:pos="142"/>
        </w:tabs>
        <w:autoSpaceDE w:val="0"/>
        <w:autoSpaceDN w:val="0"/>
        <w:adjustRightInd w:val="0"/>
        <w:spacing w:after="0" w:line="240" w:lineRule="auto"/>
        <w:jc w:val="both"/>
        <w:rPr>
          <w:rFonts w:ascii="Times New Roman" w:hAnsi="Times New Roman" w:cs="Times New Roman"/>
          <w:bCs/>
          <w:sz w:val="24"/>
          <w:szCs w:val="24"/>
        </w:rPr>
      </w:pPr>
    </w:p>
    <w:p w:rsidR="006C48B5" w:rsidRDefault="003C3AE9" w:rsidP="002804BC">
      <w:pPr>
        <w:tabs>
          <w:tab w:val="left" w:pos="142"/>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6C48B5">
        <w:rPr>
          <w:rFonts w:ascii="Times New Roman" w:hAnsi="Times New Roman" w:cs="Times New Roman"/>
          <w:bCs/>
          <w:sz w:val="24"/>
          <w:szCs w:val="24"/>
        </w:rPr>
        <w:t>ne autre faiblesse de la TCP est qu'il s'agit d'un</w:t>
      </w:r>
      <w:r w:rsidR="00383531">
        <w:rPr>
          <w:rFonts w:ascii="Times New Roman" w:hAnsi="Times New Roman" w:cs="Times New Roman"/>
          <w:bCs/>
          <w:sz w:val="24"/>
          <w:szCs w:val="24"/>
        </w:rPr>
        <w:t xml:space="preserve">e sauvegarde </w:t>
      </w:r>
      <w:r w:rsidR="006C48B5">
        <w:rPr>
          <w:rFonts w:ascii="Times New Roman" w:hAnsi="Times New Roman" w:cs="Times New Roman"/>
          <w:bCs/>
          <w:sz w:val="24"/>
          <w:szCs w:val="24"/>
        </w:rPr>
        <w:t>actionnée par chaque E</w:t>
      </w:r>
      <w:r w:rsidR="00383531">
        <w:rPr>
          <w:rFonts w:ascii="Times New Roman" w:hAnsi="Times New Roman" w:cs="Times New Roman"/>
          <w:bCs/>
          <w:sz w:val="24"/>
          <w:szCs w:val="24"/>
        </w:rPr>
        <w:t>tat membre d</w:t>
      </w:r>
      <w:r w:rsidR="006C48B5">
        <w:rPr>
          <w:rFonts w:ascii="Times New Roman" w:hAnsi="Times New Roman" w:cs="Times New Roman"/>
          <w:bCs/>
          <w:sz w:val="24"/>
          <w:szCs w:val="24"/>
        </w:rPr>
        <w:t>e la CEDEAO, ce qui peut accroitre les disparités de concurrence entre E</w:t>
      </w:r>
      <w:r w:rsidR="00383531">
        <w:rPr>
          <w:rFonts w:ascii="Times New Roman" w:hAnsi="Times New Roman" w:cs="Times New Roman"/>
          <w:bCs/>
          <w:sz w:val="24"/>
          <w:szCs w:val="24"/>
        </w:rPr>
        <w:t>tats membres</w:t>
      </w:r>
      <w:r w:rsidR="006C48B5">
        <w:rPr>
          <w:rFonts w:ascii="Times New Roman" w:hAnsi="Times New Roman" w:cs="Times New Roman"/>
          <w:bCs/>
          <w:sz w:val="24"/>
          <w:szCs w:val="24"/>
        </w:rPr>
        <w:t xml:space="preserve">, d'autant que les niveaux de leurs DD consolidés à l'OMC sont très différents. </w:t>
      </w:r>
      <w:r w:rsidR="00552C1B">
        <w:rPr>
          <w:rFonts w:ascii="Times New Roman" w:hAnsi="Times New Roman" w:cs="Times New Roman"/>
          <w:bCs/>
          <w:sz w:val="24"/>
          <w:szCs w:val="24"/>
        </w:rPr>
        <w:t xml:space="preserve">C'est une </w:t>
      </w:r>
      <w:r w:rsidR="006C48B5">
        <w:rPr>
          <w:rFonts w:ascii="Times New Roman" w:hAnsi="Times New Roman" w:cs="Times New Roman"/>
          <w:bCs/>
          <w:sz w:val="24"/>
          <w:szCs w:val="24"/>
        </w:rPr>
        <w:t xml:space="preserve">raison supplémentaire pour que la CEDEAO devienne membre de l'OMC et obtienne des DD consolidés au niveau pondéré des DD consolidés de ses </w:t>
      </w:r>
      <w:r w:rsidR="00383531">
        <w:rPr>
          <w:rFonts w:ascii="Times New Roman" w:hAnsi="Times New Roman" w:cs="Times New Roman"/>
          <w:bCs/>
          <w:sz w:val="24"/>
          <w:szCs w:val="24"/>
        </w:rPr>
        <w:t>Etats membres</w:t>
      </w:r>
      <w:r>
        <w:rPr>
          <w:rFonts w:ascii="Times New Roman" w:hAnsi="Times New Roman" w:cs="Times New Roman"/>
          <w:bCs/>
          <w:sz w:val="24"/>
          <w:szCs w:val="24"/>
        </w:rPr>
        <w:t>.</w:t>
      </w:r>
      <w:r w:rsidR="006C48B5">
        <w:rPr>
          <w:rFonts w:ascii="Times New Roman" w:hAnsi="Times New Roman" w:cs="Times New Roman"/>
          <w:bCs/>
          <w:sz w:val="24"/>
          <w:szCs w:val="24"/>
        </w:rPr>
        <w:t xml:space="preserve"> Ce qui réduira aussi les pressions que l'UE appliquera d'autant plus fortement sur chaque E</w:t>
      </w:r>
      <w:r w:rsidR="00383531">
        <w:rPr>
          <w:rFonts w:ascii="Times New Roman" w:hAnsi="Times New Roman" w:cs="Times New Roman"/>
          <w:bCs/>
          <w:sz w:val="24"/>
          <w:szCs w:val="24"/>
        </w:rPr>
        <w:t xml:space="preserve">tat membre </w:t>
      </w:r>
      <w:r w:rsidR="006C48B5">
        <w:rPr>
          <w:rFonts w:ascii="Times New Roman" w:hAnsi="Times New Roman" w:cs="Times New Roman"/>
          <w:bCs/>
          <w:sz w:val="24"/>
          <w:szCs w:val="24"/>
        </w:rPr>
        <w:t xml:space="preserve">qui voudrait faire jouer les sauvegardes de l'APE.  </w:t>
      </w:r>
    </w:p>
    <w:p w:rsidR="00D608CA" w:rsidRDefault="00D608CA" w:rsidP="002804BC">
      <w:pPr>
        <w:tabs>
          <w:tab w:val="left" w:pos="142"/>
        </w:tabs>
        <w:autoSpaceDE w:val="0"/>
        <w:autoSpaceDN w:val="0"/>
        <w:adjustRightInd w:val="0"/>
        <w:spacing w:after="0" w:line="240" w:lineRule="auto"/>
        <w:jc w:val="both"/>
        <w:rPr>
          <w:rFonts w:ascii="Times New Roman" w:hAnsi="Times New Roman" w:cs="Times New Roman"/>
          <w:bCs/>
          <w:sz w:val="24"/>
          <w:szCs w:val="24"/>
        </w:rPr>
      </w:pPr>
    </w:p>
    <w:p w:rsidR="00DF1F4E" w:rsidRPr="00DF1F4E" w:rsidRDefault="00DF1F4E"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En outre la TCP et la TAI n'ont été prévues </w:t>
      </w:r>
      <w:r w:rsidR="007073C4" w:rsidRPr="00DF1F4E">
        <w:rPr>
          <w:rFonts w:ascii="Times New Roman" w:hAnsi="Times New Roman" w:cs="Times New Roman"/>
          <w:bCs/>
          <w:sz w:val="24"/>
          <w:szCs w:val="24"/>
        </w:rPr>
        <w:t xml:space="preserve">que </w:t>
      </w:r>
      <w:r>
        <w:rPr>
          <w:rFonts w:ascii="Times New Roman" w:hAnsi="Times New Roman" w:cs="Times New Roman"/>
          <w:bCs/>
          <w:sz w:val="24"/>
          <w:szCs w:val="24"/>
        </w:rPr>
        <w:t xml:space="preserve">pour </w:t>
      </w:r>
      <w:r w:rsidR="007073C4" w:rsidRPr="00DF1F4E">
        <w:rPr>
          <w:rFonts w:ascii="Times New Roman" w:hAnsi="Times New Roman" w:cs="Times New Roman"/>
          <w:bCs/>
          <w:sz w:val="24"/>
          <w:szCs w:val="24"/>
        </w:rPr>
        <w:t>les 5 premières années du TEC et sur</w:t>
      </w:r>
      <w:r w:rsidR="00724465">
        <w:rPr>
          <w:rFonts w:ascii="Times New Roman" w:hAnsi="Times New Roman" w:cs="Times New Roman"/>
          <w:bCs/>
          <w:sz w:val="24"/>
          <w:szCs w:val="24"/>
        </w:rPr>
        <w:t xml:space="preserve"> </w:t>
      </w:r>
      <w:r w:rsidRPr="00DF1F4E">
        <w:rPr>
          <w:rFonts w:ascii="Times New Roman" w:hAnsi="Times New Roman" w:cs="Times New Roman"/>
          <w:bCs/>
          <w:sz w:val="24"/>
          <w:szCs w:val="24"/>
        </w:rPr>
        <w:t xml:space="preserve">au plus 3% des </w:t>
      </w:r>
      <w:r w:rsidR="00724465">
        <w:rPr>
          <w:rFonts w:ascii="Times New Roman" w:hAnsi="Times New Roman" w:cs="Times New Roman"/>
          <w:bCs/>
          <w:sz w:val="24"/>
          <w:szCs w:val="24"/>
        </w:rPr>
        <w:t xml:space="preserve">lignes tarifaires </w:t>
      </w:r>
      <w:r w:rsidR="00D608CA">
        <w:rPr>
          <w:rFonts w:ascii="Times New Roman" w:hAnsi="Times New Roman" w:cs="Times New Roman"/>
          <w:bCs/>
          <w:sz w:val="24"/>
          <w:szCs w:val="24"/>
        </w:rPr>
        <w:t xml:space="preserve">alors que </w:t>
      </w:r>
      <w:r w:rsidR="003C3AE9">
        <w:rPr>
          <w:rFonts w:ascii="Times New Roman" w:hAnsi="Times New Roman" w:cs="Times New Roman"/>
          <w:bCs/>
          <w:sz w:val="24"/>
          <w:szCs w:val="24"/>
        </w:rPr>
        <w:t xml:space="preserve">la CSS </w:t>
      </w:r>
      <w:r w:rsidR="00D608CA">
        <w:rPr>
          <w:rFonts w:ascii="Times New Roman" w:hAnsi="Times New Roman" w:cs="Times New Roman"/>
          <w:bCs/>
          <w:sz w:val="24"/>
          <w:szCs w:val="24"/>
        </w:rPr>
        <w:t>n'</w:t>
      </w:r>
      <w:r w:rsidR="003C3AE9">
        <w:rPr>
          <w:rFonts w:ascii="Times New Roman" w:hAnsi="Times New Roman" w:cs="Times New Roman"/>
          <w:bCs/>
          <w:sz w:val="24"/>
          <w:szCs w:val="24"/>
        </w:rPr>
        <w:t>a</w:t>
      </w:r>
      <w:r w:rsidR="00D608CA">
        <w:rPr>
          <w:rFonts w:ascii="Times New Roman" w:hAnsi="Times New Roman" w:cs="Times New Roman"/>
          <w:bCs/>
          <w:sz w:val="24"/>
          <w:szCs w:val="24"/>
        </w:rPr>
        <w:t xml:space="preserve"> pas </w:t>
      </w:r>
      <w:r w:rsidR="003C3AE9">
        <w:rPr>
          <w:rFonts w:ascii="Times New Roman" w:hAnsi="Times New Roman" w:cs="Times New Roman"/>
          <w:bCs/>
          <w:sz w:val="24"/>
          <w:szCs w:val="24"/>
        </w:rPr>
        <w:t xml:space="preserve">de limite temporelle et </w:t>
      </w:r>
      <w:r w:rsidR="00D608CA">
        <w:rPr>
          <w:rFonts w:ascii="Times New Roman" w:hAnsi="Times New Roman" w:cs="Times New Roman"/>
          <w:bCs/>
          <w:sz w:val="24"/>
          <w:szCs w:val="24"/>
        </w:rPr>
        <w:t xml:space="preserve">peut porter sur 31% des </w:t>
      </w:r>
      <w:r w:rsidR="00552C1B">
        <w:rPr>
          <w:rFonts w:ascii="Times New Roman" w:hAnsi="Times New Roman" w:cs="Times New Roman"/>
          <w:bCs/>
          <w:sz w:val="24"/>
          <w:szCs w:val="24"/>
        </w:rPr>
        <w:t xml:space="preserve">lignes tarifaires </w:t>
      </w:r>
      <w:r w:rsidR="00D608CA">
        <w:rPr>
          <w:rFonts w:ascii="Times New Roman" w:hAnsi="Times New Roman" w:cs="Times New Roman"/>
          <w:bCs/>
          <w:sz w:val="24"/>
          <w:szCs w:val="24"/>
        </w:rPr>
        <w:t>de l'UE. Après les 5 premières années, pl</w:t>
      </w:r>
      <w:r w:rsidRPr="00DF1F4E">
        <w:rPr>
          <w:rFonts w:ascii="Times New Roman" w:hAnsi="Times New Roman" w:cs="Times New Roman"/>
          <w:bCs/>
          <w:sz w:val="24"/>
          <w:szCs w:val="24"/>
        </w:rPr>
        <w:t xml:space="preserve">us rien </w:t>
      </w:r>
      <w:r w:rsidR="00D608CA">
        <w:rPr>
          <w:rFonts w:ascii="Times New Roman" w:hAnsi="Times New Roman" w:cs="Times New Roman"/>
          <w:bCs/>
          <w:sz w:val="24"/>
          <w:szCs w:val="24"/>
        </w:rPr>
        <w:t xml:space="preserve">n'est prévu </w:t>
      </w:r>
      <w:r w:rsidR="0039242A">
        <w:rPr>
          <w:rFonts w:ascii="Times New Roman" w:hAnsi="Times New Roman" w:cs="Times New Roman"/>
          <w:bCs/>
          <w:sz w:val="24"/>
          <w:szCs w:val="24"/>
        </w:rPr>
        <w:t xml:space="preserve">par la CEDEAO </w:t>
      </w:r>
      <w:r w:rsidRPr="00DF1F4E">
        <w:rPr>
          <w:rFonts w:ascii="Times New Roman" w:hAnsi="Times New Roman" w:cs="Times New Roman"/>
          <w:bCs/>
          <w:sz w:val="24"/>
          <w:szCs w:val="24"/>
        </w:rPr>
        <w:t>quelles que soient la</w:t>
      </w:r>
      <w:r>
        <w:rPr>
          <w:rFonts w:ascii="Times New Roman" w:hAnsi="Times New Roman" w:cs="Times New Roman"/>
          <w:bCs/>
          <w:sz w:val="24"/>
          <w:szCs w:val="24"/>
        </w:rPr>
        <w:t xml:space="preserve"> </w:t>
      </w:r>
      <w:r w:rsidRPr="00DF1F4E">
        <w:rPr>
          <w:rFonts w:ascii="Times New Roman" w:hAnsi="Times New Roman" w:cs="Times New Roman"/>
          <w:bCs/>
          <w:sz w:val="24"/>
          <w:szCs w:val="24"/>
        </w:rPr>
        <w:t>hausse des volumes importés ou la baisse des prix !</w:t>
      </w:r>
    </w:p>
    <w:p w:rsidR="00883D68" w:rsidRDefault="00883D68" w:rsidP="00BB43B0">
      <w:pPr>
        <w:spacing w:after="0" w:line="240" w:lineRule="auto"/>
        <w:jc w:val="both"/>
        <w:rPr>
          <w:rStyle w:val="hps"/>
          <w:rFonts w:ascii="Times New Roman" w:hAnsi="Times New Roman" w:cs="Times New Roman"/>
          <w:sz w:val="24"/>
          <w:szCs w:val="24"/>
          <w:lang w:val="en"/>
        </w:rPr>
      </w:pPr>
    </w:p>
    <w:p w:rsidR="00BB43B0" w:rsidRDefault="008449A4" w:rsidP="00BB43B0">
      <w:pPr>
        <w:spacing w:after="0" w:line="240" w:lineRule="auto"/>
        <w:jc w:val="both"/>
        <w:rPr>
          <w:rFonts w:ascii="Times New Roman" w:hAnsi="Times New Roman" w:cs="Times New Roman"/>
          <w:bCs/>
          <w:sz w:val="24"/>
          <w:szCs w:val="24"/>
        </w:rPr>
      </w:pPr>
      <w:r>
        <w:rPr>
          <w:rStyle w:val="hps"/>
          <w:rFonts w:ascii="Times New Roman" w:hAnsi="Times New Roman" w:cs="Times New Roman"/>
          <w:sz w:val="24"/>
          <w:szCs w:val="24"/>
          <w:lang w:val="en"/>
        </w:rPr>
        <w:t>Surtout on a assisté à une é</w:t>
      </w:r>
      <w:r w:rsidR="003A0B68">
        <w:rPr>
          <w:rStyle w:val="hps"/>
          <w:rFonts w:ascii="Times New Roman" w:hAnsi="Times New Roman" w:cs="Times New Roman"/>
          <w:sz w:val="24"/>
          <w:szCs w:val="24"/>
          <w:lang w:val="en"/>
        </w:rPr>
        <w:t xml:space="preserve">volution de la portée des sauvegardes </w:t>
      </w:r>
      <w:r w:rsidR="00C01314" w:rsidRPr="00C01314">
        <w:rPr>
          <w:rFonts w:ascii="Times New Roman" w:hAnsi="Times New Roman" w:cs="Times New Roman"/>
          <w:bCs/>
          <w:sz w:val="24"/>
          <w:szCs w:val="24"/>
        </w:rPr>
        <w:t>entre la TCI (</w:t>
      </w:r>
      <w:r w:rsidR="00C01314" w:rsidRPr="00C01314">
        <w:rPr>
          <w:rFonts w:ascii="Times New Roman" w:eastAsia="Times New Roman" w:hAnsi="Times New Roman" w:cs="Times New Roman"/>
          <w:color w:val="000000"/>
          <w:spacing w:val="-1"/>
          <w:sz w:val="24"/>
          <w:szCs w:val="24"/>
        </w:rPr>
        <w:t xml:space="preserve">Taxe conjoncturelle à l’importation) créée par l'UEMOA en </w:t>
      </w:r>
      <w:r w:rsidR="00087931">
        <w:rPr>
          <w:rFonts w:ascii="Times New Roman" w:eastAsia="Times New Roman" w:hAnsi="Times New Roman" w:cs="Times New Roman"/>
          <w:color w:val="000000"/>
          <w:spacing w:val="-1"/>
          <w:sz w:val="24"/>
          <w:szCs w:val="24"/>
        </w:rPr>
        <w:t xml:space="preserve">septembre </w:t>
      </w:r>
      <w:r w:rsidR="00C01314" w:rsidRPr="00C01314">
        <w:rPr>
          <w:rFonts w:ascii="Times New Roman" w:eastAsia="Times New Roman" w:hAnsi="Times New Roman" w:cs="Times New Roman"/>
          <w:color w:val="000000"/>
          <w:spacing w:val="-1"/>
          <w:sz w:val="24"/>
          <w:szCs w:val="24"/>
        </w:rPr>
        <w:t xml:space="preserve">1999, </w:t>
      </w:r>
      <w:r w:rsidR="00087931">
        <w:rPr>
          <w:rFonts w:ascii="Times New Roman" w:eastAsia="Times New Roman" w:hAnsi="Times New Roman" w:cs="Times New Roman"/>
          <w:color w:val="000000"/>
          <w:spacing w:val="-1"/>
          <w:sz w:val="24"/>
          <w:szCs w:val="24"/>
        </w:rPr>
        <w:t xml:space="preserve">complétée par l'utilisation de "valeurs de référence" en douane différentes des prix CAF, </w:t>
      </w:r>
      <w:r w:rsidR="00C01314">
        <w:rPr>
          <w:rFonts w:ascii="Times New Roman" w:eastAsia="Times New Roman" w:hAnsi="Times New Roman" w:cs="Times New Roman"/>
          <w:color w:val="000000"/>
          <w:spacing w:val="-1"/>
          <w:sz w:val="24"/>
          <w:szCs w:val="24"/>
        </w:rPr>
        <w:t xml:space="preserve">la </w:t>
      </w:r>
      <w:r w:rsidR="00C01314" w:rsidRPr="00C01314">
        <w:rPr>
          <w:rFonts w:ascii="Times New Roman" w:hAnsi="Times New Roman" w:cs="Times New Roman"/>
          <w:bCs/>
          <w:sz w:val="24"/>
          <w:szCs w:val="24"/>
        </w:rPr>
        <w:t xml:space="preserve">Taxe de Sauvegarde sur les Importations </w:t>
      </w:r>
      <w:r w:rsidR="00C01314" w:rsidRPr="00C01314">
        <w:rPr>
          <w:rFonts w:ascii="Times New Roman" w:hAnsi="Times New Roman" w:cs="Times New Roman"/>
          <w:sz w:val="24"/>
          <w:szCs w:val="24"/>
        </w:rPr>
        <w:t xml:space="preserve">(TSI) </w:t>
      </w:r>
      <w:r w:rsidR="00C01314">
        <w:rPr>
          <w:rFonts w:ascii="Times New Roman" w:hAnsi="Times New Roman" w:cs="Times New Roman"/>
          <w:sz w:val="24"/>
          <w:szCs w:val="24"/>
        </w:rPr>
        <w:t xml:space="preserve">créée par la CEDEAO en 2006, à laquelle </w:t>
      </w:r>
      <w:r w:rsidR="00C01314" w:rsidRPr="00C01314">
        <w:rPr>
          <w:rFonts w:ascii="Times New Roman" w:hAnsi="Times New Roman" w:cs="Times New Roman"/>
          <w:sz w:val="24"/>
          <w:szCs w:val="24"/>
        </w:rPr>
        <w:t xml:space="preserve">s'ajoutait le </w:t>
      </w:r>
      <w:r w:rsidR="00C01314" w:rsidRPr="00C01314">
        <w:rPr>
          <w:rFonts w:ascii="Times New Roman" w:hAnsi="Times New Roman" w:cs="Times New Roman"/>
          <w:bCs/>
          <w:sz w:val="24"/>
          <w:szCs w:val="24"/>
        </w:rPr>
        <w:t xml:space="preserve">Droit Compensateur de la CEDEAO (DC) </w:t>
      </w:r>
      <w:r w:rsidR="00C01314" w:rsidRPr="00C01314">
        <w:rPr>
          <w:rFonts w:ascii="Times New Roman" w:hAnsi="Times New Roman" w:cs="Times New Roman"/>
          <w:sz w:val="24"/>
          <w:szCs w:val="24"/>
        </w:rPr>
        <w:t xml:space="preserve">et </w:t>
      </w:r>
      <w:r w:rsidRPr="00C01314">
        <w:rPr>
          <w:rFonts w:ascii="Times New Roman" w:hAnsi="Times New Roman" w:cs="Times New Roman"/>
          <w:bCs/>
          <w:sz w:val="24"/>
          <w:szCs w:val="24"/>
        </w:rPr>
        <w:t>la TCP (</w:t>
      </w:r>
      <w:r w:rsidRPr="00C01314">
        <w:rPr>
          <w:rFonts w:ascii="Times New Roman" w:hAnsi="Times New Roman" w:cs="Times New Roman"/>
          <w:bCs/>
          <w:sz w:val="24"/>
          <w:szCs w:val="24"/>
          <w:lang w:val="en-US"/>
        </w:rPr>
        <w:t>Taxe Complémentaire de Protection</w:t>
      </w:r>
      <w:r w:rsidRPr="00C01314">
        <w:rPr>
          <w:rFonts w:ascii="Times New Roman" w:hAnsi="Times New Roman" w:cs="Times New Roman"/>
          <w:bCs/>
          <w:sz w:val="24"/>
          <w:szCs w:val="24"/>
        </w:rPr>
        <w:t>) du TEC</w:t>
      </w:r>
      <w:r>
        <w:rPr>
          <w:rFonts w:ascii="Times New Roman" w:hAnsi="Times New Roman" w:cs="Times New Roman"/>
          <w:bCs/>
          <w:sz w:val="24"/>
          <w:szCs w:val="24"/>
        </w:rPr>
        <w:t xml:space="preserve"> CEDEAO </w:t>
      </w:r>
      <w:r w:rsidR="00C01314">
        <w:rPr>
          <w:rFonts w:ascii="Times New Roman" w:hAnsi="Times New Roman" w:cs="Times New Roman"/>
          <w:bCs/>
          <w:sz w:val="24"/>
          <w:szCs w:val="24"/>
        </w:rPr>
        <w:t xml:space="preserve">adopté en 2013. </w:t>
      </w:r>
    </w:p>
    <w:p w:rsidR="00BB43B0" w:rsidRDefault="00BB43B0" w:rsidP="00BB43B0">
      <w:pPr>
        <w:spacing w:after="0" w:line="240" w:lineRule="auto"/>
        <w:jc w:val="both"/>
        <w:rPr>
          <w:rFonts w:ascii="Times New Roman" w:hAnsi="Times New Roman" w:cs="Times New Roman"/>
          <w:bCs/>
          <w:sz w:val="24"/>
          <w:szCs w:val="24"/>
        </w:rPr>
      </w:pPr>
    </w:p>
    <w:p w:rsidR="00BB43B0" w:rsidRPr="00BB43B0" w:rsidRDefault="00087931" w:rsidP="00BB43B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La TCI </w:t>
      </w:r>
      <w:r w:rsidR="00EF3F40">
        <w:rPr>
          <w:rFonts w:ascii="Times New Roman" w:hAnsi="Times New Roman" w:cs="Times New Roman"/>
          <w:bCs/>
          <w:sz w:val="24"/>
          <w:szCs w:val="24"/>
        </w:rPr>
        <w:t xml:space="preserve">de septembre 1999 </w:t>
      </w:r>
      <w:r>
        <w:rPr>
          <w:rFonts w:ascii="Times New Roman" w:hAnsi="Times New Roman" w:cs="Times New Roman"/>
          <w:bCs/>
          <w:sz w:val="24"/>
          <w:szCs w:val="24"/>
        </w:rPr>
        <w:t xml:space="preserve">visait à </w:t>
      </w:r>
      <w:r w:rsidRPr="00087931">
        <w:rPr>
          <w:rFonts w:ascii="Times New Roman" w:hAnsi="Times New Roman" w:cs="Times New Roman"/>
          <w:bCs/>
          <w:sz w:val="24"/>
          <w:szCs w:val="24"/>
        </w:rPr>
        <w:t xml:space="preserve">réduire les effets négatifs de la volatilité des prix du marché mondial et </w:t>
      </w:r>
      <w:r w:rsidR="00BB43B0">
        <w:rPr>
          <w:rFonts w:ascii="Times New Roman" w:hAnsi="Times New Roman" w:cs="Times New Roman"/>
          <w:bCs/>
          <w:sz w:val="24"/>
          <w:szCs w:val="24"/>
        </w:rPr>
        <w:t xml:space="preserve">à </w:t>
      </w:r>
      <w:r w:rsidRPr="00087931">
        <w:rPr>
          <w:rFonts w:ascii="Times New Roman" w:hAnsi="Times New Roman" w:cs="Times New Roman"/>
          <w:bCs/>
          <w:sz w:val="24"/>
          <w:szCs w:val="24"/>
        </w:rPr>
        <w:t xml:space="preserve">contrecarrer </w:t>
      </w:r>
      <w:r w:rsidR="00BB43B0">
        <w:rPr>
          <w:rFonts w:ascii="Times New Roman" w:hAnsi="Times New Roman" w:cs="Times New Roman"/>
          <w:bCs/>
          <w:sz w:val="24"/>
          <w:szCs w:val="24"/>
        </w:rPr>
        <w:t xml:space="preserve">les </w:t>
      </w:r>
      <w:r w:rsidRPr="00087931">
        <w:rPr>
          <w:rFonts w:ascii="Times New Roman" w:hAnsi="Times New Roman" w:cs="Times New Roman"/>
          <w:bCs/>
          <w:sz w:val="24"/>
          <w:szCs w:val="24"/>
        </w:rPr>
        <w:t>pratiques déloyales</w:t>
      </w:r>
      <w:r w:rsidR="00BB43B0">
        <w:rPr>
          <w:rFonts w:ascii="Times New Roman" w:hAnsi="Times New Roman" w:cs="Times New Roman"/>
          <w:bCs/>
          <w:sz w:val="24"/>
          <w:szCs w:val="24"/>
        </w:rPr>
        <w:t>. Elle</w:t>
      </w:r>
      <w:r>
        <w:rPr>
          <w:rFonts w:ascii="Times New Roman" w:hAnsi="Times New Roman" w:cs="Times New Roman"/>
          <w:bCs/>
          <w:sz w:val="24"/>
          <w:szCs w:val="24"/>
        </w:rPr>
        <w:t xml:space="preserve"> </w:t>
      </w:r>
      <w:r w:rsidRPr="00087931">
        <w:rPr>
          <w:rFonts w:ascii="Times New Roman" w:hAnsi="Times New Roman" w:cs="Times New Roman"/>
          <w:bCs/>
          <w:sz w:val="24"/>
          <w:szCs w:val="24"/>
        </w:rPr>
        <w:t xml:space="preserve">consistait en une </w:t>
      </w:r>
      <w:r>
        <w:rPr>
          <w:rFonts w:ascii="Times New Roman" w:hAnsi="Times New Roman" w:cs="Times New Roman"/>
          <w:bCs/>
          <w:sz w:val="24"/>
          <w:szCs w:val="24"/>
        </w:rPr>
        <w:t>t</w:t>
      </w:r>
      <w:r w:rsidRPr="00087931">
        <w:rPr>
          <w:rFonts w:ascii="Times New Roman" w:hAnsi="Times New Roman" w:cs="Times New Roman"/>
          <w:bCs/>
          <w:sz w:val="24"/>
          <w:szCs w:val="24"/>
        </w:rPr>
        <w:t xml:space="preserve">axe de 10% si </w:t>
      </w:r>
      <w:r w:rsidR="008266AB">
        <w:rPr>
          <w:rFonts w:ascii="Times New Roman" w:hAnsi="Times New Roman" w:cs="Times New Roman"/>
          <w:bCs/>
          <w:sz w:val="24"/>
          <w:szCs w:val="24"/>
        </w:rPr>
        <w:t xml:space="preserve">le </w:t>
      </w:r>
      <w:r w:rsidRPr="00087931">
        <w:rPr>
          <w:rFonts w:ascii="Times New Roman" w:hAnsi="Times New Roman" w:cs="Times New Roman"/>
          <w:bCs/>
          <w:sz w:val="24"/>
          <w:szCs w:val="24"/>
        </w:rPr>
        <w:t>prix CAF</w:t>
      </w:r>
      <w:r>
        <w:rPr>
          <w:rFonts w:ascii="Times New Roman" w:hAnsi="Times New Roman" w:cs="Times New Roman"/>
          <w:bCs/>
          <w:sz w:val="24"/>
          <w:szCs w:val="24"/>
        </w:rPr>
        <w:t xml:space="preserve"> était </w:t>
      </w:r>
      <w:r w:rsidRPr="00087931">
        <w:rPr>
          <w:rFonts w:ascii="Times New Roman" w:hAnsi="Times New Roman" w:cs="Times New Roman"/>
          <w:bCs/>
          <w:sz w:val="24"/>
          <w:szCs w:val="24"/>
        </w:rPr>
        <w:t xml:space="preserve">inférieur au </w:t>
      </w:r>
      <w:r w:rsidR="008266AB">
        <w:rPr>
          <w:rFonts w:ascii="Times New Roman" w:hAnsi="Times New Roman" w:cs="Times New Roman"/>
          <w:bCs/>
          <w:sz w:val="24"/>
          <w:szCs w:val="24"/>
        </w:rPr>
        <w:t>"</w:t>
      </w:r>
      <w:r w:rsidRPr="00087931">
        <w:rPr>
          <w:rFonts w:ascii="Times New Roman" w:hAnsi="Times New Roman" w:cs="Times New Roman"/>
          <w:bCs/>
          <w:sz w:val="24"/>
          <w:szCs w:val="24"/>
        </w:rPr>
        <w:t>prix de déclenchement</w:t>
      </w:r>
      <w:r w:rsidR="008266AB">
        <w:rPr>
          <w:rFonts w:ascii="Times New Roman" w:hAnsi="Times New Roman" w:cs="Times New Roman"/>
          <w:bCs/>
          <w:sz w:val="24"/>
          <w:szCs w:val="24"/>
        </w:rPr>
        <w:t>"</w:t>
      </w:r>
      <w:r w:rsidR="00BB43B0">
        <w:rPr>
          <w:rFonts w:ascii="Times New Roman" w:hAnsi="Times New Roman" w:cs="Times New Roman"/>
          <w:bCs/>
          <w:sz w:val="24"/>
          <w:szCs w:val="24"/>
        </w:rPr>
        <w:t xml:space="preserve"> (</w:t>
      </w:r>
      <w:r w:rsidR="0039242A">
        <w:rPr>
          <w:rFonts w:ascii="Times New Roman" w:hAnsi="Times New Roman" w:cs="Times New Roman"/>
          <w:bCs/>
          <w:sz w:val="24"/>
          <w:szCs w:val="24"/>
        </w:rPr>
        <w:t xml:space="preserve">prix basé sur </w:t>
      </w:r>
      <w:r w:rsidR="00BB43B0">
        <w:rPr>
          <w:rFonts w:ascii="Times New Roman" w:hAnsi="Times New Roman" w:cs="Times New Roman"/>
          <w:bCs/>
          <w:sz w:val="24"/>
          <w:szCs w:val="24"/>
        </w:rPr>
        <w:t>un calcul complexe se référant aux prix à l'exportation de l'UE et des USA)</w:t>
      </w:r>
      <w:r w:rsidR="00CC1FC8">
        <w:rPr>
          <w:rFonts w:ascii="Times New Roman" w:hAnsi="Times New Roman" w:cs="Times New Roman"/>
          <w:bCs/>
          <w:sz w:val="24"/>
          <w:szCs w:val="24"/>
        </w:rPr>
        <w:t>, mais la TCI avait de grosses limites : elle ne portai</w:t>
      </w:r>
      <w:r w:rsidR="00BB43B0">
        <w:rPr>
          <w:rFonts w:ascii="Times New Roman" w:hAnsi="Times New Roman" w:cs="Times New Roman"/>
          <w:bCs/>
          <w:sz w:val="24"/>
          <w:szCs w:val="24"/>
        </w:rPr>
        <w:t>t</w:t>
      </w:r>
      <w:r w:rsidR="00CC1FC8">
        <w:rPr>
          <w:rFonts w:ascii="Times New Roman" w:hAnsi="Times New Roman" w:cs="Times New Roman"/>
          <w:bCs/>
          <w:sz w:val="24"/>
          <w:szCs w:val="24"/>
        </w:rPr>
        <w:t xml:space="preserve"> que sur un nombre restreint de produits alimentaires, le taux de 10% était insuffisant pour contrer les pratiques déloyales (dumping</w:t>
      </w:r>
      <w:r w:rsidR="00BB43B0">
        <w:rPr>
          <w:rFonts w:ascii="Times New Roman" w:hAnsi="Times New Roman" w:cs="Times New Roman"/>
          <w:bCs/>
          <w:sz w:val="24"/>
          <w:szCs w:val="24"/>
        </w:rPr>
        <w:t>, notamment sur la viande de volaille</w:t>
      </w:r>
      <w:r w:rsidR="00CC1FC8">
        <w:rPr>
          <w:rFonts w:ascii="Times New Roman" w:hAnsi="Times New Roman" w:cs="Times New Roman"/>
          <w:bCs/>
          <w:sz w:val="24"/>
          <w:szCs w:val="24"/>
        </w:rPr>
        <w:t>) et la T</w:t>
      </w:r>
      <w:r w:rsidR="00BB43B0">
        <w:rPr>
          <w:rFonts w:ascii="Times New Roman" w:hAnsi="Times New Roman" w:cs="Times New Roman"/>
          <w:bCs/>
          <w:sz w:val="24"/>
          <w:szCs w:val="24"/>
        </w:rPr>
        <w:t>C</w:t>
      </w:r>
      <w:r w:rsidR="00CC1FC8">
        <w:rPr>
          <w:rFonts w:ascii="Times New Roman" w:hAnsi="Times New Roman" w:cs="Times New Roman"/>
          <w:bCs/>
          <w:sz w:val="24"/>
          <w:szCs w:val="24"/>
        </w:rPr>
        <w:t xml:space="preserve">I ne pouvait être actionnée que suite à une baisse du prix et pas </w:t>
      </w:r>
      <w:r w:rsidR="008266AB">
        <w:rPr>
          <w:rFonts w:ascii="Times New Roman" w:hAnsi="Times New Roman" w:cs="Times New Roman"/>
          <w:bCs/>
          <w:sz w:val="24"/>
          <w:szCs w:val="24"/>
        </w:rPr>
        <w:t xml:space="preserve">suite </w:t>
      </w:r>
      <w:r w:rsidR="00CC1FC8">
        <w:rPr>
          <w:rFonts w:ascii="Times New Roman" w:hAnsi="Times New Roman" w:cs="Times New Roman"/>
          <w:bCs/>
          <w:sz w:val="24"/>
          <w:szCs w:val="24"/>
        </w:rPr>
        <w:t xml:space="preserve">à la hausse des volumes importés. </w:t>
      </w:r>
      <w:r w:rsidR="003A0B68">
        <w:rPr>
          <w:rFonts w:ascii="Times New Roman" w:hAnsi="Times New Roman" w:cs="Times New Roman"/>
          <w:bCs/>
          <w:sz w:val="24"/>
          <w:szCs w:val="24"/>
        </w:rPr>
        <w:t>U</w:t>
      </w:r>
      <w:r w:rsidR="00CC1FC8">
        <w:rPr>
          <w:rFonts w:ascii="Times New Roman" w:hAnsi="Times New Roman" w:cs="Times New Roman"/>
          <w:bCs/>
          <w:sz w:val="24"/>
          <w:szCs w:val="24"/>
        </w:rPr>
        <w:t>ne alternative à la TCI était d'utiliser des "valeurs de référence" : "</w:t>
      </w:r>
      <w:r w:rsidR="00CC1FC8" w:rsidRPr="00BB43B0">
        <w:rPr>
          <w:rFonts w:ascii="Times New Roman" w:eastAsia="Times New Roman" w:hAnsi="Times New Roman" w:cs="Times New Roman"/>
          <w:i/>
          <w:sz w:val="24"/>
          <w:szCs w:val="24"/>
        </w:rPr>
        <w:t>Le mécanisme des valeurs de référence (ou valeurs forfaitaires, mercuriales, minimales) consiste pour le service des douanes à utiliser une valeur forfaitaire comme assiette des droits d’entrée lorsque le prix facturé pour le produit importé est inférieur à cette valeur forfaitaire… Cette valeur est déterminée par l’administration nationale, soit en fonction du besoin de protection d’une filière industrielle, soit en vue d’assurer la collecte des recettes fiscales, soit enfin, pour palier la difficulté à évaluer correctement un produit importé</w:t>
      </w:r>
      <w:r w:rsidR="00BB43B0" w:rsidRPr="00BB43B0">
        <w:rPr>
          <w:rFonts w:ascii="Times New Roman" w:eastAsia="Times New Roman" w:hAnsi="Times New Roman" w:cs="Times New Roman"/>
          <w:sz w:val="24"/>
          <w:szCs w:val="24"/>
        </w:rPr>
        <w:t>"</w:t>
      </w:r>
      <w:r w:rsidR="00BB43B0" w:rsidRPr="00BB43B0">
        <w:rPr>
          <w:rStyle w:val="Appelnotedebasdep"/>
          <w:rFonts w:ascii="Times New Roman" w:eastAsia="Times New Roman" w:hAnsi="Times New Roman" w:cs="Times New Roman"/>
          <w:sz w:val="24"/>
          <w:szCs w:val="24"/>
        </w:rPr>
        <w:footnoteReference w:id="7"/>
      </w:r>
      <w:r w:rsidR="00CC1FC8" w:rsidRPr="00BB43B0">
        <w:rPr>
          <w:rFonts w:ascii="Times New Roman" w:eastAsia="Times New Roman" w:hAnsi="Times New Roman" w:cs="Times New Roman"/>
          <w:sz w:val="24"/>
          <w:szCs w:val="24"/>
        </w:rPr>
        <w:t>.</w:t>
      </w:r>
      <w:r w:rsidR="00BB43B0" w:rsidRPr="00BB43B0">
        <w:rPr>
          <w:rFonts w:ascii="Times New Roman" w:eastAsia="Times New Roman" w:hAnsi="Times New Roman" w:cs="Times New Roman"/>
          <w:sz w:val="24"/>
          <w:szCs w:val="24"/>
        </w:rPr>
        <w:t xml:space="preserve"> </w:t>
      </w:r>
      <w:r w:rsidR="00BB43B0">
        <w:rPr>
          <w:rFonts w:ascii="Times New Roman" w:eastAsia="Times New Roman" w:hAnsi="Times New Roman" w:cs="Times New Roman"/>
          <w:sz w:val="24"/>
          <w:szCs w:val="24"/>
        </w:rPr>
        <w:t xml:space="preserve">Mais le recours aux valeurs de référence était </w:t>
      </w:r>
      <w:r w:rsidR="00BB43B0" w:rsidRPr="00BB43B0">
        <w:rPr>
          <w:rFonts w:ascii="Times New Roman" w:hAnsi="Times New Roman" w:cs="Times New Roman"/>
          <w:bCs/>
          <w:sz w:val="24"/>
          <w:szCs w:val="24"/>
        </w:rPr>
        <w:t>strictement encadré par l’OMC, à titre dérogatoire de l’Accord sur l’évaluation en douane</w:t>
      </w:r>
      <w:r w:rsidR="00BB43B0">
        <w:rPr>
          <w:rFonts w:ascii="Times New Roman" w:hAnsi="Times New Roman" w:cs="Times New Roman"/>
          <w:bCs/>
          <w:sz w:val="24"/>
          <w:szCs w:val="24"/>
        </w:rPr>
        <w:t xml:space="preserve"> </w:t>
      </w:r>
      <w:r w:rsidR="00BB43B0" w:rsidRPr="00BB43B0">
        <w:rPr>
          <w:rFonts w:ascii="Times New Roman" w:hAnsi="Times New Roman" w:cs="Times New Roman"/>
          <w:bCs/>
          <w:sz w:val="24"/>
          <w:szCs w:val="24"/>
        </w:rPr>
        <w:t>et de façon transitoire (expiration au 30</w:t>
      </w:r>
      <w:r w:rsidR="00BB43B0">
        <w:rPr>
          <w:rFonts w:ascii="Times New Roman" w:hAnsi="Times New Roman" w:cs="Times New Roman"/>
          <w:bCs/>
          <w:sz w:val="24"/>
          <w:szCs w:val="24"/>
        </w:rPr>
        <w:t xml:space="preserve"> juin 2007</w:t>
      </w:r>
      <w:r w:rsidR="00BB43B0" w:rsidRPr="00BB43B0">
        <w:rPr>
          <w:rFonts w:ascii="Times New Roman" w:hAnsi="Times New Roman" w:cs="Times New Roman"/>
          <w:bCs/>
          <w:sz w:val="24"/>
          <w:szCs w:val="24"/>
        </w:rPr>
        <w:t>)</w:t>
      </w:r>
      <w:r w:rsidR="00BB43B0">
        <w:rPr>
          <w:rStyle w:val="Appelnotedebasdep"/>
          <w:rFonts w:ascii="Times New Roman" w:hAnsi="Times New Roman" w:cs="Times New Roman"/>
          <w:bCs/>
          <w:sz w:val="24"/>
          <w:szCs w:val="24"/>
        </w:rPr>
        <w:footnoteReference w:id="8"/>
      </w:r>
      <w:r w:rsidR="00BB43B0">
        <w:rPr>
          <w:rFonts w:ascii="Times New Roman" w:hAnsi="Times New Roman" w:cs="Times New Roman"/>
          <w:bCs/>
          <w:sz w:val="24"/>
          <w:szCs w:val="24"/>
        </w:rPr>
        <w:t>.</w:t>
      </w:r>
    </w:p>
    <w:p w:rsidR="00C00A74" w:rsidRDefault="00C00A74" w:rsidP="00C00A74">
      <w:pPr>
        <w:spacing w:after="0" w:line="240" w:lineRule="auto"/>
        <w:jc w:val="both"/>
        <w:textAlignment w:val="baseline"/>
        <w:rPr>
          <w:rFonts w:ascii="Times New Roman" w:eastAsia="Times New Roman" w:hAnsi="Times New Roman" w:cs="Times New Roman"/>
          <w:color w:val="000000"/>
          <w:spacing w:val="-1"/>
          <w:sz w:val="24"/>
          <w:szCs w:val="24"/>
        </w:rPr>
      </w:pPr>
    </w:p>
    <w:p w:rsidR="00FA26AC" w:rsidRDefault="00C666DA" w:rsidP="00C00A74">
      <w:pPr>
        <w:spacing w:after="0" w:line="240" w:lineRule="auto"/>
        <w:jc w:val="both"/>
        <w:textAlignment w:val="baseline"/>
        <w:rPr>
          <w:rFonts w:ascii="Times New Roman" w:hAnsi="Times New Roman" w:cs="Times New Roman"/>
          <w:bCs/>
          <w:sz w:val="24"/>
          <w:szCs w:val="24"/>
        </w:rPr>
      </w:pPr>
      <w:r>
        <w:rPr>
          <w:rFonts w:ascii="Times New Roman" w:eastAsia="Times New Roman" w:hAnsi="Times New Roman" w:cs="Times New Roman"/>
          <w:color w:val="000000"/>
          <w:spacing w:val="-1"/>
          <w:sz w:val="24"/>
          <w:szCs w:val="24"/>
        </w:rPr>
        <w:t xml:space="preserve">La </w:t>
      </w:r>
      <w:r w:rsidRPr="00C01314">
        <w:rPr>
          <w:rFonts w:ascii="Times New Roman" w:hAnsi="Times New Roman" w:cs="Times New Roman"/>
          <w:bCs/>
          <w:sz w:val="24"/>
          <w:szCs w:val="24"/>
        </w:rPr>
        <w:t xml:space="preserve">Taxe de Sauvegarde sur les Importations </w:t>
      </w:r>
      <w:r w:rsidRPr="00C01314">
        <w:rPr>
          <w:rFonts w:ascii="Times New Roman" w:hAnsi="Times New Roman" w:cs="Times New Roman"/>
          <w:sz w:val="24"/>
          <w:szCs w:val="24"/>
        </w:rPr>
        <w:t xml:space="preserve">(TSI) </w:t>
      </w:r>
      <w:r>
        <w:rPr>
          <w:rFonts w:ascii="Times New Roman" w:hAnsi="Times New Roman" w:cs="Times New Roman"/>
          <w:sz w:val="24"/>
          <w:szCs w:val="24"/>
        </w:rPr>
        <w:t>créée par la CEDEAO en 2006 améliore la TCI au sens où elle peut être actionnée par la hausse des volumes importés</w:t>
      </w:r>
      <w:r w:rsidR="00750FD5">
        <w:rPr>
          <w:rFonts w:ascii="Times New Roman" w:hAnsi="Times New Roman" w:cs="Times New Roman"/>
          <w:sz w:val="24"/>
          <w:szCs w:val="24"/>
        </w:rPr>
        <w:t xml:space="preserve"> mais il ne s'agissait </w:t>
      </w:r>
      <w:r w:rsidR="00750FD5" w:rsidRPr="00750FD5">
        <w:rPr>
          <w:rFonts w:ascii="Times New Roman" w:hAnsi="Times New Roman" w:cs="Times New Roman"/>
          <w:sz w:val="24"/>
          <w:szCs w:val="24"/>
        </w:rPr>
        <w:t xml:space="preserve">que d'une surtaxe temporaire pour </w:t>
      </w:r>
      <w:r w:rsidR="00750FD5" w:rsidRPr="00750FD5">
        <w:rPr>
          <w:rFonts w:ascii="Times New Roman" w:hAnsi="Times New Roman" w:cs="Times New Roman"/>
          <w:bCs/>
          <w:sz w:val="24"/>
          <w:szCs w:val="24"/>
        </w:rPr>
        <w:t xml:space="preserve">protéger la production locale de la volatilité des prix internationaux et des vagues d’importations tandis qu'était institué </w:t>
      </w:r>
      <w:r w:rsidR="0039242A">
        <w:rPr>
          <w:rFonts w:ascii="Times New Roman" w:hAnsi="Times New Roman" w:cs="Times New Roman"/>
          <w:bCs/>
          <w:sz w:val="24"/>
          <w:szCs w:val="24"/>
        </w:rPr>
        <w:t xml:space="preserve">à côté </w:t>
      </w:r>
      <w:r w:rsidR="00750FD5">
        <w:rPr>
          <w:rFonts w:ascii="Times New Roman" w:hAnsi="Times New Roman" w:cs="Times New Roman"/>
          <w:bCs/>
          <w:sz w:val="24"/>
          <w:szCs w:val="24"/>
        </w:rPr>
        <w:t>le "</w:t>
      </w:r>
      <w:r w:rsidR="00750FD5" w:rsidRPr="00750FD5">
        <w:rPr>
          <w:rFonts w:ascii="Times New Roman" w:hAnsi="Times New Roman" w:cs="Times New Roman"/>
          <w:bCs/>
          <w:sz w:val="24"/>
          <w:szCs w:val="24"/>
        </w:rPr>
        <w:t>Droit Compensateur de la CEDEAO</w:t>
      </w:r>
      <w:r w:rsidR="00750FD5">
        <w:rPr>
          <w:rFonts w:ascii="Times New Roman" w:hAnsi="Times New Roman" w:cs="Times New Roman"/>
          <w:bCs/>
          <w:sz w:val="24"/>
          <w:szCs w:val="24"/>
        </w:rPr>
        <w:t>"</w:t>
      </w:r>
      <w:r w:rsidR="00750FD5" w:rsidRPr="00750FD5">
        <w:rPr>
          <w:rFonts w:ascii="Times New Roman" w:hAnsi="Times New Roman" w:cs="Times New Roman"/>
          <w:bCs/>
          <w:sz w:val="24"/>
          <w:szCs w:val="24"/>
        </w:rPr>
        <w:t xml:space="preserve"> pour compenser les</w:t>
      </w:r>
      <w:r w:rsidR="00750FD5" w:rsidRPr="00750FD5">
        <w:rPr>
          <w:rFonts w:ascii="Times New Roman" w:hAnsi="Times New Roman" w:cs="Times New Roman"/>
          <w:b/>
          <w:bCs/>
          <w:sz w:val="24"/>
          <w:szCs w:val="24"/>
        </w:rPr>
        <w:t xml:space="preserve"> s</w:t>
      </w:r>
      <w:r w:rsidR="00750FD5" w:rsidRPr="00750FD5">
        <w:rPr>
          <w:rFonts w:ascii="Times New Roman" w:hAnsi="Times New Roman" w:cs="Times New Roman"/>
          <w:bCs/>
          <w:sz w:val="24"/>
          <w:szCs w:val="24"/>
        </w:rPr>
        <w:t>ubventions sur les impor</w:t>
      </w:r>
      <w:r w:rsidR="00750FD5">
        <w:rPr>
          <w:rFonts w:ascii="Times New Roman" w:hAnsi="Times New Roman" w:cs="Times New Roman"/>
          <w:bCs/>
          <w:sz w:val="24"/>
          <w:szCs w:val="24"/>
        </w:rPr>
        <w:t>ta</w:t>
      </w:r>
      <w:r w:rsidR="00750FD5" w:rsidRPr="00750FD5">
        <w:rPr>
          <w:rFonts w:ascii="Times New Roman" w:hAnsi="Times New Roman" w:cs="Times New Roman"/>
          <w:bCs/>
          <w:sz w:val="24"/>
          <w:szCs w:val="24"/>
        </w:rPr>
        <w:t>tions v</w:t>
      </w:r>
      <w:r w:rsidR="00750FD5">
        <w:rPr>
          <w:rFonts w:ascii="Times New Roman" w:hAnsi="Times New Roman" w:cs="Times New Roman"/>
          <w:bCs/>
          <w:sz w:val="24"/>
          <w:szCs w:val="24"/>
        </w:rPr>
        <w:t>e</w:t>
      </w:r>
      <w:r w:rsidR="00750FD5" w:rsidRPr="00750FD5">
        <w:rPr>
          <w:rFonts w:ascii="Times New Roman" w:hAnsi="Times New Roman" w:cs="Times New Roman"/>
          <w:bCs/>
          <w:sz w:val="24"/>
          <w:szCs w:val="24"/>
        </w:rPr>
        <w:t>nant des pays industrialisés</w:t>
      </w:r>
      <w:r w:rsidR="00750FD5">
        <w:rPr>
          <w:rFonts w:ascii="Times New Roman" w:hAnsi="Times New Roman" w:cs="Times New Roman"/>
          <w:bCs/>
          <w:sz w:val="24"/>
          <w:szCs w:val="24"/>
        </w:rPr>
        <w:t>.</w:t>
      </w:r>
      <w:r w:rsidR="00CC1FC8">
        <w:rPr>
          <w:rFonts w:ascii="Times New Roman" w:hAnsi="Times New Roman" w:cs="Times New Roman"/>
          <w:bCs/>
          <w:sz w:val="24"/>
          <w:szCs w:val="24"/>
        </w:rPr>
        <w:t xml:space="preserve"> </w:t>
      </w:r>
      <w:r w:rsidR="00A549E8">
        <w:rPr>
          <w:rFonts w:ascii="Times New Roman" w:hAnsi="Times New Roman" w:cs="Times New Roman"/>
          <w:bCs/>
          <w:sz w:val="24"/>
          <w:szCs w:val="24"/>
        </w:rPr>
        <w:t xml:space="preserve">La TSI permettait de compenser jusqu'à 100% de la baisse des prix lorsqu'elle était d'au moins 20% sur les 6 derniers mois par rapport aux 6 mois correspondant de l'année précédente ou d'au moins 10% sur les 12 derniers mois par rapport aux 12 mois précédents. Et elle permettait </w:t>
      </w:r>
      <w:r w:rsidR="00C00A74">
        <w:rPr>
          <w:rFonts w:ascii="Times New Roman" w:hAnsi="Times New Roman" w:cs="Times New Roman"/>
          <w:bCs/>
          <w:sz w:val="24"/>
          <w:szCs w:val="24"/>
        </w:rPr>
        <w:t xml:space="preserve">une surtaxe de </w:t>
      </w:r>
      <w:r w:rsidR="00A549E8">
        <w:rPr>
          <w:rFonts w:ascii="Times New Roman" w:hAnsi="Times New Roman" w:cs="Times New Roman"/>
          <w:bCs/>
          <w:sz w:val="24"/>
          <w:szCs w:val="24"/>
        </w:rPr>
        <w:t xml:space="preserve">50% </w:t>
      </w:r>
      <w:r w:rsidR="00C00A74">
        <w:rPr>
          <w:rFonts w:ascii="Times New Roman" w:hAnsi="Times New Roman" w:cs="Times New Roman"/>
          <w:bCs/>
          <w:sz w:val="24"/>
          <w:szCs w:val="24"/>
        </w:rPr>
        <w:t>lorsque le</w:t>
      </w:r>
      <w:r w:rsidR="00A549E8">
        <w:rPr>
          <w:rFonts w:ascii="Times New Roman" w:hAnsi="Times New Roman" w:cs="Times New Roman"/>
          <w:bCs/>
          <w:sz w:val="24"/>
          <w:szCs w:val="24"/>
        </w:rPr>
        <w:t xml:space="preserve"> volume importé </w:t>
      </w:r>
      <w:r w:rsidR="00C00A74">
        <w:rPr>
          <w:rFonts w:ascii="Times New Roman" w:hAnsi="Times New Roman" w:cs="Times New Roman"/>
          <w:bCs/>
          <w:sz w:val="24"/>
          <w:szCs w:val="24"/>
        </w:rPr>
        <w:t>augmentait d</w:t>
      </w:r>
      <w:r w:rsidR="00A549E8">
        <w:rPr>
          <w:rFonts w:ascii="Times New Roman" w:hAnsi="Times New Roman" w:cs="Times New Roman"/>
          <w:bCs/>
          <w:sz w:val="24"/>
          <w:szCs w:val="24"/>
        </w:rPr>
        <w:t xml:space="preserve">e plus de 50% sur les 6 derniers mois par rapport aux 6 mois correspondant de l'année précédente ou de moins de 20% sur les 12 derniers mois par rapport aux 12 mois précédents. Mais </w:t>
      </w:r>
      <w:r w:rsidR="00DB18DB">
        <w:rPr>
          <w:rFonts w:ascii="Times New Roman" w:hAnsi="Times New Roman" w:cs="Times New Roman"/>
          <w:bCs/>
          <w:sz w:val="24"/>
          <w:szCs w:val="24"/>
        </w:rPr>
        <w:t>l</w:t>
      </w:r>
      <w:r w:rsidR="00A549E8">
        <w:rPr>
          <w:rFonts w:ascii="Times New Roman" w:hAnsi="Times New Roman" w:cs="Times New Roman"/>
          <w:bCs/>
          <w:sz w:val="24"/>
          <w:szCs w:val="24"/>
        </w:rPr>
        <w:t>a TSI ne pouvait être activée que pe</w:t>
      </w:r>
      <w:r w:rsidR="00DB18DB">
        <w:rPr>
          <w:rFonts w:ascii="Times New Roman" w:hAnsi="Times New Roman" w:cs="Times New Roman"/>
          <w:bCs/>
          <w:sz w:val="24"/>
          <w:szCs w:val="24"/>
        </w:rPr>
        <w:t>n</w:t>
      </w:r>
      <w:r w:rsidR="00A549E8">
        <w:rPr>
          <w:rFonts w:ascii="Times New Roman" w:hAnsi="Times New Roman" w:cs="Times New Roman"/>
          <w:bCs/>
          <w:sz w:val="24"/>
          <w:szCs w:val="24"/>
        </w:rPr>
        <w:t>dant 6 mois</w:t>
      </w:r>
      <w:r w:rsidR="00DB18DB">
        <w:rPr>
          <w:rFonts w:ascii="Times New Roman" w:hAnsi="Times New Roman" w:cs="Times New Roman"/>
          <w:bCs/>
          <w:sz w:val="24"/>
          <w:szCs w:val="24"/>
        </w:rPr>
        <w:t xml:space="preserve">, renouvelable une fois. Quant au </w:t>
      </w:r>
      <w:r w:rsidR="00DB18DB" w:rsidRPr="00750FD5">
        <w:rPr>
          <w:rFonts w:ascii="Times New Roman" w:hAnsi="Times New Roman" w:cs="Times New Roman"/>
          <w:bCs/>
          <w:sz w:val="24"/>
          <w:szCs w:val="24"/>
        </w:rPr>
        <w:t>Droit Compensateur de la CEDEAO</w:t>
      </w:r>
      <w:r w:rsidR="00DB18DB">
        <w:rPr>
          <w:rFonts w:ascii="Times New Roman" w:hAnsi="Times New Roman" w:cs="Times New Roman"/>
          <w:bCs/>
          <w:sz w:val="24"/>
          <w:szCs w:val="24"/>
        </w:rPr>
        <w:t xml:space="preserve"> </w:t>
      </w:r>
      <w:r w:rsidR="003A0B68">
        <w:rPr>
          <w:rFonts w:ascii="Times New Roman" w:hAnsi="Times New Roman" w:cs="Times New Roman"/>
          <w:bCs/>
          <w:sz w:val="24"/>
          <w:szCs w:val="24"/>
        </w:rPr>
        <w:t xml:space="preserve">l'idée de compenser les subventions des pays exportateurs était excellente mais </w:t>
      </w:r>
      <w:r w:rsidR="00DB18DB">
        <w:rPr>
          <w:rFonts w:ascii="Times New Roman" w:hAnsi="Times New Roman" w:cs="Times New Roman"/>
          <w:bCs/>
          <w:sz w:val="24"/>
          <w:szCs w:val="24"/>
        </w:rPr>
        <w:t xml:space="preserve">son mode de calcul le rendait inapplicable </w:t>
      </w:r>
      <w:r w:rsidR="00C00A74">
        <w:rPr>
          <w:rFonts w:ascii="Times New Roman" w:hAnsi="Times New Roman" w:cs="Times New Roman"/>
          <w:bCs/>
          <w:sz w:val="24"/>
          <w:szCs w:val="24"/>
        </w:rPr>
        <w:t xml:space="preserve">car il supposait le calcul </w:t>
      </w:r>
      <w:r w:rsidR="00DB18DB" w:rsidRPr="00C00A74">
        <w:rPr>
          <w:rFonts w:ascii="Times New Roman" w:hAnsi="Times New Roman" w:cs="Times New Roman"/>
          <w:bCs/>
          <w:sz w:val="24"/>
          <w:szCs w:val="24"/>
        </w:rPr>
        <w:t>de l'ESP (Estimation du soutien au producteur)</w:t>
      </w:r>
      <w:r w:rsidR="00C00A74">
        <w:rPr>
          <w:rFonts w:ascii="Times New Roman" w:hAnsi="Times New Roman" w:cs="Times New Roman"/>
          <w:bCs/>
          <w:sz w:val="24"/>
          <w:szCs w:val="24"/>
        </w:rPr>
        <w:t xml:space="preserve"> </w:t>
      </w:r>
      <w:r w:rsidR="00DB18DB" w:rsidRPr="00C00A74">
        <w:rPr>
          <w:rFonts w:ascii="Times New Roman" w:hAnsi="Times New Roman" w:cs="Times New Roman"/>
          <w:bCs/>
          <w:sz w:val="24"/>
          <w:szCs w:val="24"/>
        </w:rPr>
        <w:t>du produit</w:t>
      </w:r>
      <w:r w:rsidR="00C00A74">
        <w:rPr>
          <w:rFonts w:ascii="Times New Roman" w:hAnsi="Times New Roman" w:cs="Times New Roman"/>
          <w:bCs/>
          <w:sz w:val="24"/>
          <w:szCs w:val="24"/>
        </w:rPr>
        <w:t xml:space="preserve">, </w:t>
      </w:r>
      <w:r w:rsidR="00DB18DB" w:rsidRPr="00C00A74">
        <w:rPr>
          <w:rFonts w:ascii="Times New Roman" w:hAnsi="Times New Roman" w:cs="Times New Roman"/>
          <w:bCs/>
          <w:sz w:val="24"/>
          <w:szCs w:val="24"/>
        </w:rPr>
        <w:t xml:space="preserve">un indicateur de soutien </w:t>
      </w:r>
      <w:r w:rsidR="00C00A74">
        <w:rPr>
          <w:rFonts w:ascii="Times New Roman" w:hAnsi="Times New Roman" w:cs="Times New Roman"/>
          <w:bCs/>
          <w:sz w:val="24"/>
          <w:szCs w:val="24"/>
        </w:rPr>
        <w:t xml:space="preserve">de </w:t>
      </w:r>
      <w:r w:rsidR="00C00A74" w:rsidRPr="00C00A74">
        <w:rPr>
          <w:rFonts w:ascii="Times New Roman" w:hAnsi="Times New Roman" w:cs="Times New Roman"/>
          <w:bCs/>
          <w:sz w:val="24"/>
          <w:szCs w:val="24"/>
        </w:rPr>
        <w:t xml:space="preserve">l'OCDE </w:t>
      </w:r>
      <w:r w:rsidR="00DB18DB" w:rsidRPr="00C00A74">
        <w:rPr>
          <w:rFonts w:ascii="Times New Roman" w:hAnsi="Times New Roman" w:cs="Times New Roman"/>
          <w:bCs/>
          <w:sz w:val="24"/>
          <w:szCs w:val="24"/>
        </w:rPr>
        <w:t xml:space="preserve">très critiquable </w:t>
      </w:r>
      <w:r w:rsidR="00C00A74">
        <w:rPr>
          <w:rFonts w:ascii="Times New Roman" w:hAnsi="Times New Roman" w:cs="Times New Roman"/>
          <w:bCs/>
          <w:sz w:val="24"/>
          <w:szCs w:val="24"/>
        </w:rPr>
        <w:t xml:space="preserve">– car basé sur l'écart entre le prix intérieur et le prix mondial qui est un prix de </w:t>
      </w:r>
      <w:r w:rsidR="00C00A74">
        <w:rPr>
          <w:rFonts w:ascii="Times New Roman" w:hAnsi="Times New Roman" w:cs="Times New Roman"/>
          <w:bCs/>
          <w:sz w:val="24"/>
          <w:szCs w:val="24"/>
        </w:rPr>
        <w:lastRenderedPageBreak/>
        <w:t xml:space="preserve">dumping – </w:t>
      </w:r>
      <w:r w:rsidR="00DB18DB" w:rsidRPr="00C00A74">
        <w:rPr>
          <w:rFonts w:ascii="Times New Roman" w:hAnsi="Times New Roman" w:cs="Times New Roman"/>
          <w:bCs/>
          <w:sz w:val="24"/>
          <w:szCs w:val="24"/>
        </w:rPr>
        <w:t>et qui n'est pas calculé pour les produits des pays ACP, a fortiori pour la CEDEAO</w:t>
      </w:r>
      <w:r w:rsidR="00C00A74">
        <w:rPr>
          <w:rFonts w:ascii="Times New Roman" w:hAnsi="Times New Roman" w:cs="Times New Roman"/>
          <w:bCs/>
          <w:sz w:val="24"/>
          <w:szCs w:val="24"/>
        </w:rPr>
        <w:t>.</w:t>
      </w:r>
      <w:r w:rsidR="00DB18DB">
        <w:rPr>
          <w:rFonts w:ascii="Times New Roman" w:hAnsi="Times New Roman" w:cs="Times New Roman"/>
          <w:bCs/>
          <w:sz w:val="24"/>
          <w:szCs w:val="24"/>
        </w:rPr>
        <w:t xml:space="preserve"> </w:t>
      </w:r>
      <w:r w:rsidR="00A549E8">
        <w:rPr>
          <w:rFonts w:ascii="Times New Roman" w:hAnsi="Times New Roman" w:cs="Times New Roman"/>
          <w:bCs/>
          <w:sz w:val="24"/>
          <w:szCs w:val="24"/>
        </w:rPr>
        <w:t xml:space="preserve"> </w:t>
      </w:r>
    </w:p>
    <w:p w:rsidR="00087931" w:rsidRDefault="00FA26AC" w:rsidP="00C00A74">
      <w:pPr>
        <w:spacing w:after="0" w:line="240" w:lineRule="auto"/>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Au total les mesures de sauvegarde de l'APE sont très faibles, inférieures à celles de la CEDEAO qui ne pourraient être mises en œuvre et </w:t>
      </w:r>
      <w:r w:rsidR="005743B7">
        <w:rPr>
          <w:rFonts w:ascii="Times New Roman" w:hAnsi="Times New Roman" w:cs="Times New Roman"/>
          <w:bCs/>
          <w:sz w:val="24"/>
          <w:szCs w:val="24"/>
        </w:rPr>
        <w:t xml:space="preserve">très </w:t>
      </w:r>
      <w:r>
        <w:rPr>
          <w:rFonts w:ascii="Times New Roman" w:hAnsi="Times New Roman" w:cs="Times New Roman"/>
          <w:bCs/>
          <w:sz w:val="24"/>
          <w:szCs w:val="24"/>
        </w:rPr>
        <w:t xml:space="preserve">inférieures à celles dont dispose l'UE.  </w:t>
      </w:r>
      <w:r w:rsidR="00A549E8">
        <w:rPr>
          <w:rFonts w:ascii="Times New Roman" w:hAnsi="Times New Roman" w:cs="Times New Roman"/>
          <w:bCs/>
          <w:sz w:val="24"/>
          <w:szCs w:val="24"/>
        </w:rPr>
        <w:t xml:space="preserve"> </w:t>
      </w:r>
      <w:r w:rsidR="00CC1FC8">
        <w:rPr>
          <w:rFonts w:ascii="Times New Roman" w:hAnsi="Times New Roman" w:cs="Times New Roman"/>
          <w:bCs/>
          <w:sz w:val="24"/>
          <w:szCs w:val="24"/>
        </w:rPr>
        <w:t xml:space="preserve">  </w:t>
      </w:r>
      <w:r w:rsidR="00087931" w:rsidRPr="00087931">
        <w:rPr>
          <w:rFonts w:ascii="Times New Roman" w:hAnsi="Times New Roman" w:cs="Times New Roman"/>
          <w:bCs/>
          <w:sz w:val="24"/>
          <w:szCs w:val="24"/>
        </w:rPr>
        <w:tab/>
      </w:r>
    </w:p>
    <w:p w:rsidR="00F91F97" w:rsidRDefault="008C0589" w:rsidP="00C00A74">
      <w:pPr>
        <w:spacing w:after="0" w:line="240" w:lineRule="auto"/>
        <w:jc w:val="both"/>
        <w:textAlignment w:val="baseline"/>
        <w:rPr>
          <w:rFonts w:ascii="Times New Roman" w:hAnsi="Times New Roman" w:cs="Times New Roman"/>
          <w:b/>
          <w:bCs/>
          <w:sz w:val="24"/>
          <w:szCs w:val="24"/>
          <w:u w:val="single"/>
        </w:rPr>
      </w:pPr>
      <w:r w:rsidRPr="005D73DD">
        <w:rPr>
          <w:rFonts w:ascii="Times New Roman" w:hAnsi="Times New Roman" w:cs="Times New Roman"/>
          <w:b/>
          <w:bCs/>
          <w:sz w:val="24"/>
          <w:szCs w:val="24"/>
          <w:u w:val="single"/>
        </w:rPr>
        <w:t xml:space="preserve">6) </w:t>
      </w:r>
      <w:r w:rsidR="00F91F97">
        <w:rPr>
          <w:rFonts w:ascii="Times New Roman" w:hAnsi="Times New Roman" w:cs="Times New Roman"/>
          <w:b/>
          <w:bCs/>
          <w:sz w:val="24"/>
          <w:szCs w:val="24"/>
          <w:u w:val="single"/>
        </w:rPr>
        <w:t xml:space="preserve">Des DD de l'UE sur ses produits alimentaires très supérieurs à ceux de la CEDEAO </w:t>
      </w:r>
    </w:p>
    <w:p w:rsidR="006D2213" w:rsidRDefault="006D2213" w:rsidP="006D22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2013 </w:t>
      </w:r>
      <w:r w:rsidR="0056092D">
        <w:rPr>
          <w:rFonts w:ascii="Times New Roman" w:hAnsi="Times New Roman" w:cs="Times New Roman"/>
          <w:sz w:val="24"/>
          <w:szCs w:val="24"/>
        </w:rPr>
        <w:t>l</w:t>
      </w:r>
      <w:r>
        <w:rPr>
          <w:rFonts w:ascii="Times New Roman" w:hAnsi="Times New Roman" w:cs="Times New Roman"/>
          <w:sz w:val="24"/>
          <w:szCs w:val="24"/>
        </w:rPr>
        <w:t xml:space="preserve">es DD </w:t>
      </w:r>
      <w:r w:rsidR="0056092D">
        <w:rPr>
          <w:rFonts w:ascii="Times New Roman" w:hAnsi="Times New Roman" w:cs="Times New Roman"/>
          <w:sz w:val="24"/>
          <w:szCs w:val="24"/>
        </w:rPr>
        <w:t xml:space="preserve">du régime NPF </w:t>
      </w:r>
      <w:r>
        <w:rPr>
          <w:rFonts w:ascii="Times New Roman" w:hAnsi="Times New Roman" w:cs="Times New Roman"/>
          <w:sz w:val="24"/>
          <w:szCs w:val="24"/>
        </w:rPr>
        <w:t xml:space="preserve">de l'UE étaient, en équivalent </w:t>
      </w:r>
      <w:r w:rsidRPr="00107F9F">
        <w:rPr>
          <w:rFonts w:ascii="Times New Roman" w:hAnsi="Times New Roman" w:cs="Times New Roman"/>
          <w:i/>
          <w:sz w:val="24"/>
          <w:szCs w:val="24"/>
        </w:rPr>
        <w:t>ad valorem</w:t>
      </w:r>
      <w:r>
        <w:rPr>
          <w:rFonts w:ascii="Times New Roman" w:hAnsi="Times New Roman" w:cs="Times New Roman"/>
          <w:sz w:val="24"/>
          <w:szCs w:val="24"/>
        </w:rPr>
        <w:t xml:space="preserve"> (les droits spécifiques ou mixtes </w:t>
      </w:r>
      <w:r w:rsidR="00DF4C05">
        <w:rPr>
          <w:rFonts w:ascii="Times New Roman" w:hAnsi="Times New Roman" w:cs="Times New Roman"/>
          <w:sz w:val="24"/>
          <w:szCs w:val="24"/>
        </w:rPr>
        <w:t>aya</w:t>
      </w:r>
      <w:r>
        <w:rPr>
          <w:rFonts w:ascii="Times New Roman" w:hAnsi="Times New Roman" w:cs="Times New Roman"/>
          <w:sz w:val="24"/>
          <w:szCs w:val="24"/>
        </w:rPr>
        <w:t>nt été rapportés à la valeur CAF), de 54,2% sur le blé, 38,6% sur l'orge, 40,9% sur le maïs, 27,9% sur le riz, 30,8% sur la farine de blé; 71,3% sur le sucre; 32,6% sur la viande bovine fraiche et 46,7% sur la viande bovine congelée; 43,2% à 46,7% sur le lait en poudre, 67% sur le beurre et 31,7% sur le fromage</w:t>
      </w:r>
      <w:r w:rsidRPr="009D7243">
        <w:rPr>
          <w:rFonts w:ascii="Times New Roman" w:hAnsi="Times New Roman" w:cs="Times New Roman"/>
          <w:sz w:val="24"/>
          <w:szCs w:val="24"/>
        </w:rPr>
        <w:t xml:space="preserve">. </w:t>
      </w:r>
      <w:r>
        <w:rPr>
          <w:rFonts w:ascii="Times New Roman" w:hAnsi="Times New Roman" w:cs="Times New Roman"/>
          <w:sz w:val="24"/>
          <w:szCs w:val="24"/>
        </w:rPr>
        <w:t xml:space="preserve">Et ceci malgré que ces équivalents </w:t>
      </w:r>
      <w:r w:rsidRPr="00107F9F">
        <w:rPr>
          <w:rFonts w:ascii="Times New Roman" w:hAnsi="Times New Roman" w:cs="Times New Roman"/>
          <w:i/>
          <w:sz w:val="24"/>
          <w:szCs w:val="24"/>
        </w:rPr>
        <w:t>ad valorem</w:t>
      </w:r>
      <w:r>
        <w:rPr>
          <w:rFonts w:ascii="Times New Roman" w:hAnsi="Times New Roman" w:cs="Times New Roman"/>
          <w:sz w:val="24"/>
          <w:szCs w:val="24"/>
        </w:rPr>
        <w:t xml:space="preserve"> aient beaucoup baissé par rapport aux années </w:t>
      </w:r>
      <w:r w:rsidR="0056092D">
        <w:rPr>
          <w:rFonts w:ascii="Times New Roman" w:hAnsi="Times New Roman" w:cs="Times New Roman"/>
          <w:sz w:val="24"/>
          <w:szCs w:val="24"/>
        </w:rPr>
        <w:t>d'</w:t>
      </w:r>
      <w:r>
        <w:rPr>
          <w:rFonts w:ascii="Times New Roman" w:hAnsi="Times New Roman" w:cs="Times New Roman"/>
          <w:sz w:val="24"/>
          <w:szCs w:val="24"/>
        </w:rPr>
        <w:t>a</w:t>
      </w:r>
      <w:r w:rsidR="0056092D">
        <w:rPr>
          <w:rFonts w:ascii="Times New Roman" w:hAnsi="Times New Roman" w:cs="Times New Roman"/>
          <w:sz w:val="24"/>
          <w:szCs w:val="24"/>
        </w:rPr>
        <w:t>v</w:t>
      </w:r>
      <w:r>
        <w:rPr>
          <w:rFonts w:ascii="Times New Roman" w:hAnsi="Times New Roman" w:cs="Times New Roman"/>
          <w:sz w:val="24"/>
          <w:szCs w:val="24"/>
        </w:rPr>
        <w:t xml:space="preserve">ant la flambée des prix depuis 2007. En </w:t>
      </w:r>
      <w:r w:rsidR="0056092D">
        <w:rPr>
          <w:rFonts w:ascii="Times New Roman" w:hAnsi="Times New Roman" w:cs="Times New Roman"/>
          <w:sz w:val="24"/>
          <w:szCs w:val="24"/>
        </w:rPr>
        <w:t xml:space="preserve">fait </w:t>
      </w:r>
      <w:r>
        <w:rPr>
          <w:rFonts w:ascii="Times New Roman" w:hAnsi="Times New Roman" w:cs="Times New Roman"/>
          <w:sz w:val="24"/>
          <w:szCs w:val="24"/>
        </w:rPr>
        <w:t xml:space="preserve">le niveau de protection à l'importation des produits alimentaires de base </w:t>
      </w:r>
      <w:r w:rsidR="005C51CF">
        <w:rPr>
          <w:rFonts w:ascii="Times New Roman" w:hAnsi="Times New Roman" w:cs="Times New Roman"/>
          <w:sz w:val="24"/>
          <w:szCs w:val="24"/>
        </w:rPr>
        <w:t xml:space="preserve">de l'UE </w:t>
      </w:r>
      <w:r w:rsidR="0056092D">
        <w:rPr>
          <w:rFonts w:ascii="Times New Roman" w:hAnsi="Times New Roman" w:cs="Times New Roman"/>
          <w:sz w:val="24"/>
          <w:szCs w:val="24"/>
        </w:rPr>
        <w:t>e</w:t>
      </w:r>
      <w:r>
        <w:rPr>
          <w:rFonts w:ascii="Times New Roman" w:hAnsi="Times New Roman" w:cs="Times New Roman"/>
          <w:sz w:val="24"/>
          <w:szCs w:val="24"/>
        </w:rPr>
        <w:t xml:space="preserve">st bien supérieur </w:t>
      </w:r>
      <w:r w:rsidR="005C51CF">
        <w:rPr>
          <w:rFonts w:ascii="Times New Roman" w:hAnsi="Times New Roman" w:cs="Times New Roman"/>
          <w:sz w:val="24"/>
          <w:szCs w:val="24"/>
        </w:rPr>
        <w:t xml:space="preserve">à ses seuls </w:t>
      </w:r>
      <w:r>
        <w:rPr>
          <w:rFonts w:ascii="Times New Roman" w:hAnsi="Times New Roman" w:cs="Times New Roman"/>
          <w:sz w:val="24"/>
          <w:szCs w:val="24"/>
        </w:rPr>
        <w:t xml:space="preserve">DD </w:t>
      </w:r>
      <w:r w:rsidR="0056092D">
        <w:rPr>
          <w:rFonts w:ascii="Times New Roman" w:hAnsi="Times New Roman" w:cs="Times New Roman"/>
          <w:sz w:val="24"/>
          <w:szCs w:val="24"/>
        </w:rPr>
        <w:t>puisque le</w:t>
      </w:r>
      <w:r>
        <w:rPr>
          <w:rFonts w:ascii="Times New Roman" w:hAnsi="Times New Roman" w:cs="Times New Roman"/>
          <w:sz w:val="24"/>
          <w:szCs w:val="24"/>
        </w:rPr>
        <w:t xml:space="preserve">s </w:t>
      </w:r>
      <w:r w:rsidR="0056092D">
        <w:rPr>
          <w:rFonts w:ascii="Times New Roman" w:hAnsi="Times New Roman" w:cs="Times New Roman"/>
          <w:sz w:val="24"/>
          <w:szCs w:val="24"/>
        </w:rPr>
        <w:t xml:space="preserve">fortes </w:t>
      </w:r>
      <w:r>
        <w:rPr>
          <w:rFonts w:ascii="Times New Roman" w:hAnsi="Times New Roman" w:cs="Times New Roman"/>
          <w:sz w:val="24"/>
          <w:szCs w:val="24"/>
        </w:rPr>
        <w:t xml:space="preserve">subventions </w:t>
      </w:r>
      <w:r w:rsidR="0056092D">
        <w:rPr>
          <w:rFonts w:ascii="Times New Roman" w:hAnsi="Times New Roman" w:cs="Times New Roman"/>
          <w:sz w:val="24"/>
          <w:szCs w:val="24"/>
        </w:rPr>
        <w:t xml:space="preserve">agricoles compensatrices de la baisse des prix </w:t>
      </w:r>
      <w:r w:rsidR="00836158">
        <w:rPr>
          <w:rFonts w:ascii="Times New Roman" w:hAnsi="Times New Roman" w:cs="Times New Roman"/>
          <w:sz w:val="24"/>
          <w:szCs w:val="24"/>
        </w:rPr>
        <w:t xml:space="preserve">depuis les réformes de la PAC (politique agricole commune de l'UE) </w:t>
      </w:r>
      <w:r w:rsidR="0056092D">
        <w:rPr>
          <w:rFonts w:ascii="Times New Roman" w:hAnsi="Times New Roman" w:cs="Times New Roman"/>
          <w:sz w:val="24"/>
          <w:szCs w:val="24"/>
        </w:rPr>
        <w:t xml:space="preserve">ont </w:t>
      </w:r>
      <w:r w:rsidR="005C51CF">
        <w:rPr>
          <w:rFonts w:ascii="Times New Roman" w:hAnsi="Times New Roman" w:cs="Times New Roman"/>
          <w:sz w:val="24"/>
          <w:szCs w:val="24"/>
        </w:rPr>
        <w:t xml:space="preserve">eu </w:t>
      </w:r>
      <w:r w:rsidR="0056092D">
        <w:rPr>
          <w:rFonts w:ascii="Times New Roman" w:hAnsi="Times New Roman" w:cs="Times New Roman"/>
          <w:sz w:val="24"/>
          <w:szCs w:val="24"/>
        </w:rPr>
        <w:t xml:space="preserve">un puissant effet de substitution à l'importation en réduisant les besoins de DD élevés. Une raison de plus pour que la CEDEAO se dote d'une protection tarifaire bien supérieure à celle du TEC actuel. </w:t>
      </w:r>
    </w:p>
    <w:p w:rsidR="006D2213" w:rsidRDefault="006D2213" w:rsidP="006D2213">
      <w:pPr>
        <w:spacing w:after="0" w:line="240" w:lineRule="auto"/>
        <w:jc w:val="both"/>
        <w:rPr>
          <w:rFonts w:ascii="Times New Roman" w:hAnsi="Times New Roman" w:cs="Times New Roman"/>
          <w:sz w:val="24"/>
          <w:szCs w:val="24"/>
        </w:rPr>
      </w:pPr>
    </w:p>
    <w:p w:rsidR="006D2213" w:rsidRPr="00B3229B" w:rsidRDefault="006D2213" w:rsidP="006D2213">
      <w:pPr>
        <w:spacing w:after="0" w:line="240" w:lineRule="auto"/>
        <w:jc w:val="center"/>
        <w:rPr>
          <w:rFonts w:ascii="Times New Roman" w:hAnsi="Times New Roman" w:cs="Times New Roman"/>
        </w:rPr>
      </w:pPr>
      <w:r>
        <w:rPr>
          <w:rFonts w:ascii="Times New Roman" w:hAnsi="Times New Roman" w:cs="Times New Roman"/>
        </w:rPr>
        <w:t>Tableau 1</w:t>
      </w:r>
      <w:r w:rsidRPr="00B3229B">
        <w:rPr>
          <w:rFonts w:ascii="Times New Roman" w:hAnsi="Times New Roman" w:cs="Times New Roman"/>
        </w:rPr>
        <w:t xml:space="preserve"> – D</w:t>
      </w:r>
      <w:r>
        <w:rPr>
          <w:rFonts w:ascii="Times New Roman" w:hAnsi="Times New Roman" w:cs="Times New Roman"/>
        </w:rPr>
        <w:t xml:space="preserve">roits de douane </w:t>
      </w:r>
      <w:r w:rsidRPr="00B3229B">
        <w:rPr>
          <w:rFonts w:ascii="Times New Roman" w:hAnsi="Times New Roman" w:cs="Times New Roman"/>
        </w:rPr>
        <w:t>de l'UE sur ses importations de quelques produits alimentaires en 2013</w:t>
      </w:r>
    </w:p>
    <w:tbl>
      <w:tblPr>
        <w:tblStyle w:val="Grilledutableau"/>
        <w:tblW w:w="5000" w:type="pct"/>
        <w:tblLook w:val="04A0" w:firstRow="1" w:lastRow="0" w:firstColumn="1" w:lastColumn="0" w:noHBand="0" w:noVBand="1"/>
      </w:tblPr>
      <w:tblGrid>
        <w:gridCol w:w="2339"/>
        <w:gridCol w:w="1345"/>
        <w:gridCol w:w="1241"/>
        <w:gridCol w:w="1055"/>
        <w:gridCol w:w="1558"/>
        <w:gridCol w:w="1748"/>
      </w:tblGrid>
      <w:tr w:rsidR="006D2213" w:rsidTr="006124D4">
        <w:tc>
          <w:tcPr>
            <w:tcW w:w="1260" w:type="pct"/>
          </w:tcPr>
          <w:p w:rsidR="006D2213" w:rsidRPr="001F3484" w:rsidRDefault="006D2213" w:rsidP="006124D4">
            <w:pPr>
              <w:jc w:val="center"/>
              <w:rPr>
                <w:rFonts w:ascii="Arial Narrow" w:hAnsi="Arial Narrow"/>
                <w:sz w:val="16"/>
                <w:szCs w:val="16"/>
              </w:rPr>
            </w:pPr>
            <w:r w:rsidRPr="001F3484">
              <w:rPr>
                <w:rFonts w:ascii="Arial Narrow" w:hAnsi="Arial Narrow"/>
                <w:sz w:val="16"/>
                <w:szCs w:val="16"/>
              </w:rPr>
              <w:t>Code de produit</w:t>
            </w:r>
          </w:p>
        </w:tc>
        <w:tc>
          <w:tcPr>
            <w:tcW w:w="1960" w:type="pct"/>
            <w:gridSpan w:val="3"/>
          </w:tcPr>
          <w:p w:rsidR="006D2213" w:rsidRPr="001F3484" w:rsidRDefault="006D2213" w:rsidP="006124D4">
            <w:pPr>
              <w:jc w:val="center"/>
              <w:rPr>
                <w:rFonts w:ascii="Arial Narrow" w:hAnsi="Arial Narrow"/>
                <w:sz w:val="16"/>
                <w:szCs w:val="16"/>
              </w:rPr>
            </w:pPr>
            <w:r w:rsidRPr="001F3484">
              <w:rPr>
                <w:rFonts w:ascii="Arial Narrow" w:hAnsi="Arial Narrow"/>
                <w:sz w:val="16"/>
                <w:szCs w:val="16"/>
              </w:rPr>
              <w:t>Importations en 2013</w:t>
            </w:r>
          </w:p>
        </w:tc>
        <w:tc>
          <w:tcPr>
            <w:tcW w:w="1780" w:type="pct"/>
            <w:gridSpan w:val="2"/>
          </w:tcPr>
          <w:p w:rsidR="006D2213" w:rsidRPr="001F3484" w:rsidRDefault="006D2213" w:rsidP="006124D4">
            <w:pPr>
              <w:jc w:val="center"/>
              <w:rPr>
                <w:rFonts w:ascii="Arial Narrow" w:hAnsi="Arial Narrow"/>
                <w:sz w:val="16"/>
                <w:szCs w:val="16"/>
              </w:rPr>
            </w:pPr>
            <w:r w:rsidRPr="001F3484">
              <w:rPr>
                <w:rFonts w:ascii="Arial Narrow" w:hAnsi="Arial Narrow"/>
                <w:sz w:val="16"/>
                <w:szCs w:val="16"/>
              </w:rPr>
              <w:t xml:space="preserve">Droit </w:t>
            </w:r>
            <w:r>
              <w:rPr>
                <w:rFonts w:ascii="Arial Narrow" w:hAnsi="Arial Narrow"/>
                <w:sz w:val="16"/>
                <w:szCs w:val="16"/>
              </w:rPr>
              <w:t xml:space="preserve">de </w:t>
            </w:r>
            <w:r w:rsidRPr="001F3484">
              <w:rPr>
                <w:rFonts w:ascii="Arial Narrow" w:hAnsi="Arial Narrow"/>
                <w:sz w:val="16"/>
                <w:szCs w:val="16"/>
              </w:rPr>
              <w:t>douane</w:t>
            </w:r>
            <w:r>
              <w:rPr>
                <w:rFonts w:ascii="Arial Narrow" w:hAnsi="Arial Narrow"/>
                <w:sz w:val="16"/>
                <w:szCs w:val="16"/>
              </w:rPr>
              <w:t xml:space="preserve"> NPF</w:t>
            </w:r>
          </w:p>
        </w:tc>
      </w:tr>
      <w:tr w:rsidR="006D2213" w:rsidTr="006124D4">
        <w:tc>
          <w:tcPr>
            <w:tcW w:w="1260" w:type="pct"/>
          </w:tcPr>
          <w:p w:rsidR="006D2213" w:rsidRPr="001F3484" w:rsidRDefault="006D2213" w:rsidP="006124D4">
            <w:pPr>
              <w:jc w:val="both"/>
              <w:rPr>
                <w:rFonts w:ascii="Arial Narrow" w:hAnsi="Arial Narrow"/>
                <w:sz w:val="16"/>
                <w:szCs w:val="16"/>
              </w:rPr>
            </w:pPr>
          </w:p>
        </w:tc>
        <w:tc>
          <w:tcPr>
            <w:tcW w:w="724" w:type="pct"/>
          </w:tcPr>
          <w:p w:rsidR="006D2213" w:rsidRPr="001F3484" w:rsidRDefault="006D2213" w:rsidP="006124D4">
            <w:pPr>
              <w:jc w:val="center"/>
              <w:rPr>
                <w:rFonts w:ascii="Arial Narrow" w:hAnsi="Arial Narrow"/>
                <w:sz w:val="16"/>
                <w:szCs w:val="16"/>
              </w:rPr>
            </w:pPr>
            <w:r w:rsidRPr="001F3484">
              <w:rPr>
                <w:rFonts w:ascii="Arial Narrow" w:hAnsi="Arial Narrow"/>
                <w:sz w:val="16"/>
                <w:szCs w:val="16"/>
              </w:rPr>
              <w:t>euros</w:t>
            </w:r>
          </w:p>
        </w:tc>
        <w:tc>
          <w:tcPr>
            <w:tcW w:w="668" w:type="pct"/>
          </w:tcPr>
          <w:p w:rsidR="006D2213" w:rsidRPr="001F3484" w:rsidRDefault="006D2213" w:rsidP="006124D4">
            <w:pPr>
              <w:jc w:val="center"/>
              <w:rPr>
                <w:rFonts w:ascii="Arial Narrow" w:hAnsi="Arial Narrow"/>
                <w:sz w:val="16"/>
                <w:szCs w:val="16"/>
              </w:rPr>
            </w:pPr>
            <w:r w:rsidRPr="001F3484">
              <w:rPr>
                <w:rFonts w:ascii="Arial Narrow" w:hAnsi="Arial Narrow"/>
                <w:sz w:val="16"/>
                <w:szCs w:val="16"/>
              </w:rPr>
              <w:t>tonnes</w:t>
            </w:r>
          </w:p>
        </w:tc>
        <w:tc>
          <w:tcPr>
            <w:tcW w:w="568" w:type="pct"/>
          </w:tcPr>
          <w:p w:rsidR="006D2213" w:rsidRPr="001F3484" w:rsidRDefault="006D2213" w:rsidP="006124D4">
            <w:pPr>
              <w:jc w:val="center"/>
              <w:rPr>
                <w:rFonts w:ascii="Arial Narrow" w:hAnsi="Arial Narrow"/>
                <w:sz w:val="16"/>
                <w:szCs w:val="16"/>
              </w:rPr>
            </w:pPr>
            <w:r w:rsidRPr="001F3484">
              <w:rPr>
                <w:rFonts w:ascii="Arial Narrow" w:hAnsi="Arial Narrow"/>
                <w:sz w:val="16"/>
                <w:szCs w:val="16"/>
              </w:rPr>
              <w:t>Prix CAF</w:t>
            </w:r>
            <w:r>
              <w:rPr>
                <w:rFonts w:ascii="Arial Narrow" w:hAnsi="Arial Narrow"/>
                <w:sz w:val="16"/>
                <w:szCs w:val="16"/>
              </w:rPr>
              <w:t>/t</w:t>
            </w:r>
          </w:p>
        </w:tc>
        <w:tc>
          <w:tcPr>
            <w:tcW w:w="839" w:type="pct"/>
          </w:tcPr>
          <w:p w:rsidR="006D2213" w:rsidRPr="001F3484" w:rsidRDefault="006D2213" w:rsidP="006124D4">
            <w:pPr>
              <w:jc w:val="center"/>
              <w:rPr>
                <w:rFonts w:ascii="Arial Narrow" w:hAnsi="Arial Narrow"/>
                <w:sz w:val="16"/>
                <w:szCs w:val="16"/>
              </w:rPr>
            </w:pPr>
            <w:r>
              <w:rPr>
                <w:rFonts w:ascii="Arial Narrow" w:hAnsi="Arial Narrow"/>
                <w:sz w:val="16"/>
                <w:szCs w:val="16"/>
              </w:rPr>
              <w:t xml:space="preserve">spécifique ou </w:t>
            </w:r>
            <w:r w:rsidRPr="001F3484">
              <w:rPr>
                <w:rFonts w:ascii="Arial Narrow" w:hAnsi="Arial Narrow"/>
                <w:sz w:val="16"/>
                <w:szCs w:val="16"/>
              </w:rPr>
              <w:t>mixte</w:t>
            </w:r>
          </w:p>
        </w:tc>
        <w:tc>
          <w:tcPr>
            <w:tcW w:w="941" w:type="pct"/>
          </w:tcPr>
          <w:p w:rsidR="006D2213" w:rsidRPr="001F3484" w:rsidRDefault="006D2213" w:rsidP="006124D4">
            <w:pPr>
              <w:jc w:val="center"/>
              <w:rPr>
                <w:rFonts w:ascii="Arial Narrow" w:hAnsi="Arial Narrow"/>
                <w:sz w:val="16"/>
                <w:szCs w:val="16"/>
              </w:rPr>
            </w:pPr>
            <w:r w:rsidRPr="001F3484">
              <w:rPr>
                <w:rFonts w:ascii="Arial Narrow" w:hAnsi="Arial Narrow"/>
                <w:sz w:val="16"/>
                <w:szCs w:val="16"/>
              </w:rPr>
              <w:t>Equiv</w:t>
            </w:r>
            <w:r>
              <w:rPr>
                <w:rFonts w:ascii="Arial Narrow" w:hAnsi="Arial Narrow"/>
                <w:sz w:val="16"/>
                <w:szCs w:val="16"/>
              </w:rPr>
              <w:t xml:space="preserve"> </w:t>
            </w:r>
            <w:r w:rsidRPr="00107F9F">
              <w:rPr>
                <w:rFonts w:ascii="Arial Narrow" w:hAnsi="Arial Narrow"/>
                <w:i/>
                <w:sz w:val="16"/>
                <w:szCs w:val="16"/>
              </w:rPr>
              <w:t>ad valorem</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1001 blé</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1061680124</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38864589</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273</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148 €/t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54,2%</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1003 orge</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13322517</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552986</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241</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93 €/t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38,6%</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 xml:space="preserve">1005 maïs </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2553665610</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111163030</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2</w:t>
            </w:r>
            <w:r w:rsidRPr="00436FC6">
              <w:rPr>
                <w:rFonts w:ascii="Arial Narrow" w:eastAsia="Times New Roman" w:hAnsi="Arial Narrow" w:cs="Arial"/>
                <w:sz w:val="16"/>
                <w:szCs w:val="16"/>
                <w:lang w:eastAsia="fr-FR"/>
              </w:rPr>
              <w:t>30</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94 €/t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40,9%</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1006 riz</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909054201</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14474762</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628</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175 €/t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27,9%</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1101 farine de blé</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17339444</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310220</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559</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172 €/t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30,8%</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 xml:space="preserve">1701 sucre </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2254561835</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41229071</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547</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339 €/t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71,3%</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0201 viande bovine fraiche</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1075660827</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1203089</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8941</w:t>
            </w:r>
          </w:p>
        </w:tc>
        <w:tc>
          <w:tcPr>
            <w:tcW w:w="839" w:type="pct"/>
          </w:tcPr>
          <w:p w:rsidR="006D2213" w:rsidRPr="00436FC6" w:rsidRDefault="006D2213" w:rsidP="006124D4">
            <w:pPr>
              <w:jc w:val="center"/>
              <w:rPr>
                <w:rFonts w:ascii="Arial Narrow" w:eastAsia="Times New Roman" w:hAnsi="Arial Narrow" w:cs="Arial"/>
                <w:sz w:val="16"/>
                <w:szCs w:val="16"/>
                <w:lang w:eastAsia="fr-FR"/>
              </w:rPr>
            </w:pPr>
            <w:r w:rsidRPr="00436FC6">
              <w:rPr>
                <w:rFonts w:ascii="Arial Narrow" w:hAnsi="Arial Narrow"/>
                <w:sz w:val="16"/>
                <w:szCs w:val="16"/>
              </w:rPr>
              <w:t>12</w:t>
            </w:r>
            <w:r>
              <w:rPr>
                <w:rFonts w:ascii="Arial Narrow" w:hAnsi="Arial Narrow"/>
                <w:sz w:val="16"/>
                <w:szCs w:val="16"/>
              </w:rPr>
              <w:t>,</w:t>
            </w:r>
            <w:r w:rsidRPr="00436FC6">
              <w:rPr>
                <w:rFonts w:ascii="Arial Narrow" w:hAnsi="Arial Narrow"/>
                <w:sz w:val="16"/>
                <w:szCs w:val="16"/>
              </w:rPr>
              <w:t>8</w:t>
            </w:r>
            <w:r>
              <w:rPr>
                <w:rFonts w:ascii="Arial Narrow" w:hAnsi="Arial Narrow"/>
                <w:sz w:val="16"/>
                <w:szCs w:val="16"/>
              </w:rPr>
              <w:t>%</w:t>
            </w:r>
            <w:r w:rsidRPr="00436FC6">
              <w:rPr>
                <w:rFonts w:ascii="Arial Narrow" w:hAnsi="Arial Narrow"/>
                <w:sz w:val="16"/>
                <w:szCs w:val="16"/>
              </w:rPr>
              <w:t> + 1768 €/</w:t>
            </w:r>
            <w:r>
              <w:rPr>
                <w:rFonts w:ascii="Arial Narrow" w:hAnsi="Arial Narrow"/>
                <w:sz w:val="16"/>
                <w:szCs w:val="16"/>
              </w:rPr>
              <w:t>t</w:t>
            </w:r>
          </w:p>
        </w:tc>
        <w:tc>
          <w:tcPr>
            <w:tcW w:w="941" w:type="pct"/>
          </w:tcPr>
          <w:p w:rsidR="006D2213" w:rsidRPr="00436FC6" w:rsidRDefault="006D2213" w:rsidP="006124D4">
            <w:pPr>
              <w:jc w:val="center"/>
              <w:rPr>
                <w:rFonts w:ascii="Arial Narrow" w:hAnsi="Arial Narrow"/>
                <w:sz w:val="16"/>
                <w:szCs w:val="16"/>
              </w:rPr>
            </w:pPr>
            <w:r>
              <w:rPr>
                <w:rFonts w:ascii="Arial Narrow" w:hAnsi="Arial Narrow"/>
                <w:sz w:val="16"/>
                <w:szCs w:val="16"/>
              </w:rPr>
              <w:t>32,6%</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0202 viande bovine congelée</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422800735</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809568</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522</w:t>
            </w:r>
            <w:r w:rsidRPr="00436FC6">
              <w:rPr>
                <w:rFonts w:ascii="Arial Narrow" w:eastAsia="Times New Roman" w:hAnsi="Arial Narrow" w:cs="Arial"/>
                <w:sz w:val="16"/>
                <w:szCs w:val="16"/>
                <w:lang w:eastAsia="fr-FR"/>
              </w:rPr>
              <w:t>3</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sidRPr="00436FC6">
              <w:rPr>
                <w:rFonts w:ascii="Arial Narrow" w:hAnsi="Arial Narrow"/>
                <w:sz w:val="16"/>
                <w:szCs w:val="16"/>
              </w:rPr>
              <w:t>12</w:t>
            </w:r>
            <w:r>
              <w:rPr>
                <w:rFonts w:ascii="Arial Narrow" w:hAnsi="Arial Narrow"/>
                <w:sz w:val="16"/>
                <w:szCs w:val="16"/>
              </w:rPr>
              <w:t>,</w:t>
            </w:r>
            <w:r w:rsidRPr="00436FC6">
              <w:rPr>
                <w:rFonts w:ascii="Arial Narrow" w:hAnsi="Arial Narrow"/>
                <w:sz w:val="16"/>
                <w:szCs w:val="16"/>
              </w:rPr>
              <w:t>8</w:t>
            </w:r>
            <w:r>
              <w:rPr>
                <w:rFonts w:ascii="Arial Narrow" w:hAnsi="Arial Narrow"/>
                <w:sz w:val="16"/>
                <w:szCs w:val="16"/>
              </w:rPr>
              <w:t>%</w:t>
            </w:r>
            <w:r w:rsidRPr="00436FC6">
              <w:rPr>
                <w:rFonts w:ascii="Arial Narrow" w:hAnsi="Arial Narrow"/>
                <w:sz w:val="16"/>
                <w:szCs w:val="16"/>
              </w:rPr>
              <w:t> + 1768 €/</w:t>
            </w:r>
            <w:r>
              <w:rPr>
                <w:rFonts w:ascii="Arial Narrow" w:hAnsi="Arial Narrow"/>
                <w:sz w:val="16"/>
                <w:szCs w:val="16"/>
              </w:rPr>
              <w:t>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46,7%</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0402 lait concentré (dont en poudre)</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26675416</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91826</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290</w:t>
            </w:r>
            <w:r w:rsidRPr="00436FC6">
              <w:rPr>
                <w:rFonts w:ascii="Arial Narrow" w:eastAsia="Times New Roman" w:hAnsi="Arial Narrow" w:cs="Arial"/>
                <w:sz w:val="16"/>
                <w:szCs w:val="16"/>
                <w:lang w:eastAsia="fr-FR"/>
              </w:rPr>
              <w:t>5</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1254 €/t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43,2-46,7%</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0405 beurre</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117153997</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415566</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2819</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1896 €/t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67,3%</w:t>
            </w:r>
          </w:p>
        </w:tc>
      </w:tr>
      <w:tr w:rsidR="006D2213" w:rsidTr="006124D4">
        <w:tc>
          <w:tcPr>
            <w:tcW w:w="1260" w:type="pct"/>
          </w:tcPr>
          <w:p w:rsidR="006D2213" w:rsidRPr="001F3484" w:rsidRDefault="006D2213" w:rsidP="006124D4">
            <w:pPr>
              <w:jc w:val="both"/>
              <w:rPr>
                <w:rFonts w:ascii="Arial Narrow" w:hAnsi="Arial Narrow"/>
                <w:sz w:val="16"/>
                <w:szCs w:val="16"/>
              </w:rPr>
            </w:pPr>
            <w:r>
              <w:rPr>
                <w:rFonts w:ascii="Arial Narrow" w:hAnsi="Arial Narrow"/>
                <w:sz w:val="16"/>
                <w:szCs w:val="16"/>
              </w:rPr>
              <w:t>0406 fromage</w:t>
            </w:r>
          </w:p>
        </w:tc>
        <w:tc>
          <w:tcPr>
            <w:tcW w:w="724"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436736798</w:t>
            </w:r>
          </w:p>
        </w:tc>
        <w:tc>
          <w:tcPr>
            <w:tcW w:w="668" w:type="pct"/>
            <w:vAlign w:val="bottom"/>
          </w:tcPr>
          <w:p w:rsidR="006D2213" w:rsidRPr="003E6441" w:rsidRDefault="006D2213" w:rsidP="006124D4">
            <w:pPr>
              <w:jc w:val="center"/>
              <w:rPr>
                <w:rFonts w:ascii="Arial Narrow" w:eastAsia="Times New Roman" w:hAnsi="Arial Narrow" w:cs="Arial"/>
                <w:sz w:val="16"/>
                <w:szCs w:val="16"/>
                <w:lang w:eastAsia="fr-FR"/>
              </w:rPr>
            </w:pPr>
            <w:r w:rsidRPr="003E6441">
              <w:rPr>
                <w:rFonts w:ascii="Arial Narrow" w:eastAsia="Times New Roman" w:hAnsi="Arial Narrow" w:cs="Arial"/>
                <w:sz w:val="16"/>
                <w:szCs w:val="16"/>
                <w:lang w:eastAsia="fr-FR"/>
              </w:rPr>
              <w:t>746931</w:t>
            </w:r>
          </w:p>
        </w:tc>
        <w:tc>
          <w:tcPr>
            <w:tcW w:w="568" w:type="pct"/>
            <w:vAlign w:val="bottom"/>
          </w:tcPr>
          <w:p w:rsidR="006D2213" w:rsidRPr="00F42755" w:rsidRDefault="006D2213" w:rsidP="006124D4">
            <w:pPr>
              <w:jc w:val="center"/>
              <w:rPr>
                <w:rFonts w:ascii="Arial Narrow" w:eastAsia="Times New Roman" w:hAnsi="Arial Narrow" w:cs="Arial"/>
                <w:sz w:val="16"/>
                <w:szCs w:val="16"/>
                <w:lang w:eastAsia="fr-FR"/>
              </w:rPr>
            </w:pPr>
            <w:r w:rsidRPr="00F42755">
              <w:rPr>
                <w:rFonts w:ascii="Arial Narrow" w:eastAsia="Times New Roman" w:hAnsi="Arial Narrow" w:cs="Arial"/>
                <w:sz w:val="16"/>
                <w:szCs w:val="16"/>
                <w:lang w:eastAsia="fr-FR"/>
              </w:rPr>
              <w:t>5847</w:t>
            </w:r>
          </w:p>
        </w:tc>
        <w:tc>
          <w:tcPr>
            <w:tcW w:w="839"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1852 €/t</w:t>
            </w:r>
          </w:p>
        </w:tc>
        <w:tc>
          <w:tcPr>
            <w:tcW w:w="941" w:type="pct"/>
          </w:tcPr>
          <w:p w:rsidR="006D2213" w:rsidRPr="003E6441" w:rsidRDefault="006D2213" w:rsidP="006124D4">
            <w:pPr>
              <w:jc w:val="center"/>
              <w:rPr>
                <w:rFonts w:ascii="Arial Narrow" w:eastAsia="Times New Roman" w:hAnsi="Arial Narrow" w:cs="Arial"/>
                <w:sz w:val="16"/>
                <w:szCs w:val="16"/>
                <w:lang w:eastAsia="fr-FR"/>
              </w:rPr>
            </w:pPr>
            <w:r>
              <w:rPr>
                <w:rFonts w:ascii="Arial Narrow" w:eastAsia="Times New Roman" w:hAnsi="Arial Narrow" w:cs="Arial"/>
                <w:sz w:val="16"/>
                <w:szCs w:val="16"/>
                <w:lang w:eastAsia="fr-FR"/>
              </w:rPr>
              <w:t>31,7%</w:t>
            </w:r>
          </w:p>
        </w:tc>
      </w:tr>
    </w:tbl>
    <w:p w:rsidR="00F91F97" w:rsidRDefault="006D2213" w:rsidP="00C00A74">
      <w:pPr>
        <w:spacing w:after="0" w:line="240" w:lineRule="auto"/>
        <w:jc w:val="both"/>
        <w:textAlignment w:val="baseline"/>
        <w:rPr>
          <w:rFonts w:ascii="Times New Roman" w:hAnsi="Times New Roman" w:cs="Times New Roman"/>
          <w:b/>
          <w:bCs/>
          <w:sz w:val="24"/>
          <w:szCs w:val="24"/>
          <w:u w:val="single"/>
        </w:rPr>
      </w:pPr>
      <w:r w:rsidRPr="008E1540">
        <w:rPr>
          <w:rFonts w:ascii="Times New Roman" w:hAnsi="Times New Roman" w:cs="Times New Roman"/>
          <w:sz w:val="20"/>
          <w:szCs w:val="20"/>
        </w:rPr>
        <w:t xml:space="preserve">Source : OMC </w:t>
      </w:r>
      <w:r>
        <w:rPr>
          <w:rFonts w:ascii="Times New Roman" w:hAnsi="Times New Roman" w:cs="Times New Roman"/>
          <w:sz w:val="20"/>
          <w:szCs w:val="20"/>
        </w:rPr>
        <w:t xml:space="preserve">pour les droits de douane </w:t>
      </w:r>
      <w:r w:rsidRPr="008E1540">
        <w:rPr>
          <w:rFonts w:ascii="Times New Roman" w:hAnsi="Times New Roman" w:cs="Times New Roman"/>
          <w:sz w:val="20"/>
          <w:szCs w:val="20"/>
        </w:rPr>
        <w:t>et Eurostat</w:t>
      </w:r>
      <w:r>
        <w:rPr>
          <w:rFonts w:ascii="Times New Roman" w:hAnsi="Times New Roman" w:cs="Times New Roman"/>
          <w:sz w:val="20"/>
          <w:szCs w:val="20"/>
        </w:rPr>
        <w:t xml:space="preserve"> pour les importations</w:t>
      </w:r>
    </w:p>
    <w:p w:rsidR="00F91F97" w:rsidRDefault="00F91F97" w:rsidP="00C00A74">
      <w:pPr>
        <w:spacing w:after="0" w:line="240" w:lineRule="auto"/>
        <w:jc w:val="both"/>
        <w:textAlignment w:val="baseline"/>
        <w:rPr>
          <w:rFonts w:ascii="Times New Roman" w:hAnsi="Times New Roman" w:cs="Times New Roman"/>
          <w:b/>
          <w:bCs/>
          <w:sz w:val="24"/>
          <w:szCs w:val="24"/>
          <w:u w:val="single"/>
        </w:rPr>
      </w:pPr>
    </w:p>
    <w:p w:rsidR="003A0B68" w:rsidRPr="005D73DD" w:rsidRDefault="00F91F97" w:rsidP="00C00A74">
      <w:pPr>
        <w:spacing w:after="0" w:line="240" w:lineRule="auto"/>
        <w:jc w:val="both"/>
        <w:textAlignment w:val="baseline"/>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7) </w:t>
      </w:r>
      <w:r w:rsidR="005D73DD" w:rsidRPr="005D73DD">
        <w:rPr>
          <w:rFonts w:ascii="Times New Roman" w:hAnsi="Times New Roman" w:cs="Times New Roman"/>
          <w:b/>
          <w:bCs/>
          <w:sz w:val="24"/>
          <w:szCs w:val="24"/>
          <w:u w:val="single"/>
        </w:rPr>
        <w:t>L'</w:t>
      </w:r>
      <w:r w:rsidR="008E008F">
        <w:rPr>
          <w:rFonts w:ascii="Times New Roman" w:hAnsi="Times New Roman" w:cs="Times New Roman"/>
          <w:b/>
          <w:bCs/>
          <w:sz w:val="24"/>
          <w:szCs w:val="24"/>
          <w:u w:val="single"/>
        </w:rPr>
        <w:t xml:space="preserve">UE s'obstine à nier l'effet de dumping de ses </w:t>
      </w:r>
      <w:r w:rsidR="005D73DD" w:rsidRPr="005D73DD">
        <w:rPr>
          <w:rFonts w:ascii="Times New Roman" w:hAnsi="Times New Roman" w:cs="Times New Roman"/>
          <w:b/>
          <w:bCs/>
          <w:sz w:val="24"/>
          <w:szCs w:val="24"/>
          <w:u w:val="single"/>
        </w:rPr>
        <w:t xml:space="preserve">subventions agricoles </w:t>
      </w:r>
      <w:r w:rsidR="008E008F">
        <w:rPr>
          <w:rFonts w:ascii="Times New Roman" w:hAnsi="Times New Roman" w:cs="Times New Roman"/>
          <w:b/>
          <w:bCs/>
          <w:sz w:val="24"/>
          <w:szCs w:val="24"/>
          <w:u w:val="single"/>
        </w:rPr>
        <w:t>internes</w:t>
      </w:r>
      <w:r w:rsidR="005D73DD" w:rsidRPr="005D73DD">
        <w:rPr>
          <w:rFonts w:ascii="Times New Roman" w:hAnsi="Times New Roman" w:cs="Times New Roman"/>
          <w:b/>
          <w:bCs/>
          <w:sz w:val="24"/>
          <w:szCs w:val="24"/>
          <w:u w:val="single"/>
        </w:rPr>
        <w:t xml:space="preserve"> </w:t>
      </w:r>
    </w:p>
    <w:p w:rsidR="0039242A" w:rsidRDefault="005D73DD" w:rsidP="006A20D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w:t>
      </w:r>
      <w:r w:rsidRPr="005D73DD">
        <w:rPr>
          <w:rFonts w:ascii="Times New Roman" w:hAnsi="Times New Roman" w:cs="Times New Roman"/>
          <w:noProof/>
          <w:sz w:val="24"/>
          <w:szCs w:val="24"/>
          <w:u w:val="single"/>
        </w:rPr>
        <w:t xml:space="preserve">Article 48 </w:t>
      </w:r>
      <w:r w:rsidR="006A20DA" w:rsidRPr="006A20DA">
        <w:rPr>
          <w:rFonts w:ascii="Times New Roman" w:hAnsi="Times New Roman" w:cs="Times New Roman"/>
          <w:noProof/>
          <w:sz w:val="24"/>
          <w:szCs w:val="24"/>
          <w:u w:val="single"/>
        </w:rPr>
        <w:t>Cooperation in the areas of agriculture and food security</w:t>
      </w:r>
      <w:r w:rsidRPr="005D73DD">
        <w:rPr>
          <w:rFonts w:ascii="Times New Roman" w:hAnsi="Times New Roman" w:cs="Times New Roman"/>
          <w:noProof/>
          <w:sz w:val="24"/>
          <w:szCs w:val="24"/>
        </w:rPr>
        <w:t xml:space="preserve">: </w:t>
      </w:r>
    </w:p>
    <w:p w:rsidR="005D73DD" w:rsidRPr="005D73DD" w:rsidRDefault="005D73DD" w:rsidP="005D73DD">
      <w:pPr>
        <w:spacing w:after="0" w:line="240" w:lineRule="auto"/>
        <w:jc w:val="both"/>
        <w:rPr>
          <w:noProof/>
          <w:szCs w:val="24"/>
        </w:rPr>
      </w:pPr>
      <w:r w:rsidRPr="005D73DD">
        <w:rPr>
          <w:rFonts w:ascii="Times New Roman" w:hAnsi="Times New Roman" w:cs="Times New Roman"/>
          <w:noProof/>
          <w:sz w:val="24"/>
          <w:szCs w:val="24"/>
        </w:rPr>
        <w:t xml:space="preserve">5… </w:t>
      </w:r>
      <w:r w:rsidRPr="005D73DD">
        <w:rPr>
          <w:rFonts w:ascii="Times New Roman" w:eastAsia="Times New Roman" w:hAnsi="Times New Roman" w:cs="Times New Roman"/>
          <w:i/>
          <w:sz w:val="24"/>
          <w:szCs w:val="24"/>
          <w:lang w:eastAsia="fr-FR"/>
        </w:rPr>
        <w:t>Chaque partie assure la transparence dans ses politiques et mesures de soutien interne. L'Union européenne doit donc envoyer, par tout moyen approprié, des rapports réguliers à l'Afrique de l'Ouest sur les mesures, y compris, en particulier, la base juridique, les formes de</w:t>
      </w:r>
      <w:r>
        <w:rPr>
          <w:rFonts w:ascii="Times New Roman" w:eastAsia="Times New Roman" w:hAnsi="Times New Roman" w:cs="Times New Roman"/>
          <w:i/>
          <w:sz w:val="24"/>
          <w:szCs w:val="24"/>
          <w:lang w:eastAsia="fr-FR"/>
        </w:rPr>
        <w:t>s</w:t>
      </w:r>
      <w:r w:rsidRPr="005D73DD">
        <w:rPr>
          <w:rFonts w:ascii="Times New Roman" w:eastAsia="Times New Roman" w:hAnsi="Times New Roman" w:cs="Times New Roman"/>
          <w:i/>
          <w:sz w:val="24"/>
          <w:szCs w:val="24"/>
          <w:lang w:eastAsia="fr-FR"/>
        </w:rPr>
        <w:t xml:space="preserve"> mesures et les sommes associées. Les parties peuvent échanger des informations sur toute mesure de politique agricole à la demande de l'une des Parties. 6 L</w:t>
      </w:r>
      <w:r>
        <w:rPr>
          <w:rFonts w:ascii="Times New Roman" w:eastAsia="Times New Roman" w:hAnsi="Times New Roman" w:cs="Times New Roman"/>
          <w:i/>
          <w:sz w:val="24"/>
          <w:szCs w:val="24"/>
          <w:lang w:eastAsia="fr-FR"/>
        </w:rPr>
        <w:t>a</w:t>
      </w:r>
      <w:r w:rsidRPr="005D73DD">
        <w:rPr>
          <w:rFonts w:ascii="Times New Roman" w:eastAsia="Times New Roman" w:hAnsi="Times New Roman" w:cs="Times New Roman"/>
          <w:i/>
          <w:sz w:val="24"/>
          <w:szCs w:val="24"/>
          <w:lang w:eastAsia="fr-FR"/>
        </w:rPr>
        <w:t xml:space="preserve"> Partie Union européenne s'engage à s'abstenir de recourir à des subventions à l'exportation pour les produits agricoles exportés vers l'Afrique de l'Ouest</w:t>
      </w:r>
      <w:r>
        <w:rPr>
          <w:rFonts w:ascii="Times New Roman" w:eastAsia="Times New Roman" w:hAnsi="Times New Roman" w:cs="Times New Roman"/>
          <w:sz w:val="24"/>
          <w:szCs w:val="24"/>
          <w:lang w:eastAsia="fr-FR"/>
        </w:rPr>
        <w:t>".</w:t>
      </w:r>
    </w:p>
    <w:p w:rsidR="005D73DD" w:rsidRDefault="005D73DD" w:rsidP="00B97153">
      <w:pPr>
        <w:autoSpaceDE w:val="0"/>
        <w:autoSpaceDN w:val="0"/>
        <w:adjustRightInd w:val="0"/>
        <w:spacing w:after="0" w:line="240" w:lineRule="auto"/>
        <w:jc w:val="both"/>
        <w:rPr>
          <w:b/>
          <w:noProof/>
          <w:szCs w:val="24"/>
        </w:rPr>
      </w:pPr>
    </w:p>
    <w:p w:rsidR="00B97153" w:rsidRPr="00B97153" w:rsidRDefault="00B97153" w:rsidP="00B97153">
      <w:pPr>
        <w:autoSpaceDE w:val="0"/>
        <w:autoSpaceDN w:val="0"/>
        <w:adjustRightInd w:val="0"/>
        <w:spacing w:after="0" w:line="240" w:lineRule="auto"/>
        <w:jc w:val="both"/>
        <w:rPr>
          <w:rFonts w:ascii="Times New Roman" w:hAnsi="Times New Roman" w:cs="Times New Roman"/>
          <w:noProof/>
          <w:sz w:val="24"/>
          <w:szCs w:val="24"/>
        </w:rPr>
      </w:pPr>
      <w:r w:rsidRPr="00B97153">
        <w:rPr>
          <w:rFonts w:ascii="Times New Roman" w:hAnsi="Times New Roman" w:cs="Times New Roman"/>
          <w:noProof/>
          <w:sz w:val="24"/>
          <w:szCs w:val="24"/>
        </w:rPr>
        <w:t xml:space="preserve">On sait que l'UE </w:t>
      </w:r>
      <w:r>
        <w:rPr>
          <w:rFonts w:ascii="Times New Roman" w:hAnsi="Times New Roman" w:cs="Times New Roman"/>
          <w:noProof/>
          <w:sz w:val="24"/>
          <w:szCs w:val="24"/>
        </w:rPr>
        <w:t xml:space="preserve">s'obstine à affirmer dans toutes les instances </w:t>
      </w:r>
      <w:r w:rsidR="007C7E1C">
        <w:rPr>
          <w:rFonts w:ascii="Times New Roman" w:hAnsi="Times New Roman" w:cs="Times New Roman"/>
          <w:noProof/>
          <w:sz w:val="24"/>
          <w:szCs w:val="24"/>
        </w:rPr>
        <w:t xml:space="preserve">de l'UE </w:t>
      </w:r>
      <w:r>
        <w:rPr>
          <w:rFonts w:ascii="Times New Roman" w:hAnsi="Times New Roman" w:cs="Times New Roman"/>
          <w:noProof/>
          <w:sz w:val="24"/>
          <w:szCs w:val="24"/>
        </w:rPr>
        <w:t>et internationales que les seules subventions à l'exportation sont celles accordées au niveau de l'exportateur – les "restitutions" en jargon communautaire – et que les subve</w:t>
      </w:r>
      <w:r w:rsidR="008E008F">
        <w:rPr>
          <w:rFonts w:ascii="Times New Roman" w:hAnsi="Times New Roman" w:cs="Times New Roman"/>
          <w:noProof/>
          <w:sz w:val="24"/>
          <w:szCs w:val="24"/>
        </w:rPr>
        <w:t>n</w:t>
      </w:r>
      <w:r>
        <w:rPr>
          <w:rFonts w:ascii="Times New Roman" w:hAnsi="Times New Roman" w:cs="Times New Roman"/>
          <w:noProof/>
          <w:sz w:val="24"/>
          <w:szCs w:val="24"/>
        </w:rPr>
        <w:t xml:space="preserve">tions agricoles internes n'ont aucun "effet de distorsion des échanges", en clair de dumping, a fortiori lorsque ces subventions internes sont totalement "découplées" du niveau des prix ou de la production, comme c'est le cas pour plus de 90% des subventions agricoles de l'UE actuellement, celles représentées par les aides directes des "droits au paiement unique" (DPU) qui s'appelleront "droits au paiement de base" (DPB) à partir de 2015. Et pourtant cette obstination est un mensonge puisque l'Organe d'appel de l'Organe de règlement des différends de l'OMC a jugé à quatre reprises </w:t>
      </w:r>
      <w:r>
        <w:rPr>
          <w:rFonts w:ascii="Times New Roman" w:hAnsi="Times New Roman" w:cs="Times New Roman"/>
          <w:noProof/>
          <w:sz w:val="24"/>
          <w:szCs w:val="24"/>
        </w:rPr>
        <w:lastRenderedPageBreak/>
        <w:t>que les subve</w:t>
      </w:r>
      <w:r w:rsidR="008E008F">
        <w:rPr>
          <w:rFonts w:ascii="Times New Roman" w:hAnsi="Times New Roman" w:cs="Times New Roman"/>
          <w:noProof/>
          <w:sz w:val="24"/>
          <w:szCs w:val="24"/>
        </w:rPr>
        <w:t>n</w:t>
      </w:r>
      <w:r>
        <w:rPr>
          <w:rFonts w:ascii="Times New Roman" w:hAnsi="Times New Roman" w:cs="Times New Roman"/>
          <w:noProof/>
          <w:sz w:val="24"/>
          <w:szCs w:val="24"/>
        </w:rPr>
        <w:t>tions agricoles internes ont un effet de dumping lorsque les produits sont exportés</w:t>
      </w:r>
      <w:r w:rsidR="008E008F">
        <w:rPr>
          <w:rFonts w:ascii="Times New Roman" w:hAnsi="Times New Roman" w:cs="Times New Roman"/>
          <w:noProof/>
          <w:sz w:val="24"/>
          <w:szCs w:val="24"/>
        </w:rPr>
        <w:t xml:space="preserve"> : dans l'affaire des "Produits laitiers du Canada en décembre 2001 et décembre 2002</w:t>
      </w:r>
      <w:r w:rsidR="005D05BD">
        <w:rPr>
          <w:rFonts w:ascii="Times New Roman" w:hAnsi="Times New Roman" w:cs="Times New Roman"/>
          <w:noProof/>
          <w:sz w:val="24"/>
          <w:szCs w:val="24"/>
        </w:rPr>
        <w:t>,</w:t>
      </w:r>
      <w:r w:rsidR="008E008F">
        <w:rPr>
          <w:rFonts w:ascii="Times New Roman" w:hAnsi="Times New Roman" w:cs="Times New Roman"/>
          <w:noProof/>
          <w:sz w:val="24"/>
          <w:szCs w:val="24"/>
        </w:rPr>
        <w:t xml:space="preserve"> dans l'affaire "Coton des USA" en mars 2005 et dans l'affaire "Sucre de l'UE" en avril 2005</w:t>
      </w:r>
      <w:r w:rsidR="008E008F">
        <w:rPr>
          <w:rStyle w:val="Appelnotedebasdep"/>
          <w:rFonts w:ascii="Times New Roman" w:hAnsi="Times New Roman" w:cs="Times New Roman"/>
          <w:noProof/>
          <w:sz w:val="24"/>
          <w:szCs w:val="24"/>
        </w:rPr>
        <w:footnoteReference w:id="9"/>
      </w:r>
      <w:r w:rsidR="008E008F">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rsidR="00B97153" w:rsidRDefault="00B97153" w:rsidP="00B97153">
      <w:pPr>
        <w:autoSpaceDE w:val="0"/>
        <w:autoSpaceDN w:val="0"/>
        <w:adjustRightInd w:val="0"/>
        <w:spacing w:after="0" w:line="240" w:lineRule="auto"/>
        <w:jc w:val="both"/>
        <w:rPr>
          <w:rFonts w:ascii="Times New Roman" w:hAnsi="Times New Roman" w:cs="Times New Roman"/>
          <w:noProof/>
          <w:sz w:val="24"/>
          <w:szCs w:val="24"/>
        </w:rPr>
      </w:pPr>
    </w:p>
    <w:p w:rsidR="007C7E1C" w:rsidRPr="007C7E1C" w:rsidRDefault="008E008F" w:rsidP="007C7E1C">
      <w:pPr>
        <w:pStyle w:val="Paragraphedeliste"/>
        <w:spacing w:after="0" w:line="240" w:lineRule="auto"/>
        <w:ind w:left="0"/>
        <w:jc w:val="both"/>
        <w:rPr>
          <w:rFonts w:ascii="Times New Roman" w:hAnsi="Times New Roman"/>
          <w:sz w:val="24"/>
          <w:szCs w:val="24"/>
        </w:rPr>
      </w:pPr>
      <w:r w:rsidRPr="007C7E1C">
        <w:rPr>
          <w:rFonts w:ascii="Times New Roman" w:hAnsi="Times New Roman" w:cs="Times New Roman"/>
          <w:noProof/>
          <w:sz w:val="24"/>
          <w:szCs w:val="24"/>
        </w:rPr>
        <w:t xml:space="preserve">On a ainsi montré que les </w:t>
      </w:r>
      <w:r w:rsidR="006E6C9F" w:rsidRPr="007C7E1C">
        <w:rPr>
          <w:rFonts w:ascii="Times New Roman" w:hAnsi="Times New Roman" w:cs="Times New Roman"/>
          <w:noProof/>
          <w:sz w:val="24"/>
          <w:szCs w:val="24"/>
        </w:rPr>
        <w:t xml:space="preserve">seules </w:t>
      </w:r>
      <w:r w:rsidRPr="007C7E1C">
        <w:rPr>
          <w:rFonts w:ascii="Times New Roman" w:hAnsi="Times New Roman" w:cs="Times New Roman"/>
          <w:noProof/>
          <w:sz w:val="24"/>
          <w:szCs w:val="24"/>
        </w:rPr>
        <w:t>subven</w:t>
      </w:r>
      <w:r w:rsidR="006E6C9F" w:rsidRPr="007C7E1C">
        <w:rPr>
          <w:rFonts w:ascii="Times New Roman" w:hAnsi="Times New Roman" w:cs="Times New Roman"/>
          <w:noProof/>
          <w:sz w:val="24"/>
          <w:szCs w:val="24"/>
        </w:rPr>
        <w:t>t</w:t>
      </w:r>
      <w:r w:rsidRPr="007C7E1C">
        <w:rPr>
          <w:rFonts w:ascii="Times New Roman" w:hAnsi="Times New Roman" w:cs="Times New Roman"/>
          <w:noProof/>
          <w:sz w:val="24"/>
          <w:szCs w:val="24"/>
        </w:rPr>
        <w:t>ions de l'UE aux céréales, produits laitiers, vian</w:t>
      </w:r>
      <w:r w:rsidR="006E6C9F" w:rsidRPr="007C7E1C">
        <w:rPr>
          <w:rFonts w:ascii="Times New Roman" w:hAnsi="Times New Roman" w:cs="Times New Roman"/>
          <w:noProof/>
          <w:sz w:val="24"/>
          <w:szCs w:val="24"/>
        </w:rPr>
        <w:t>d</w:t>
      </w:r>
      <w:r w:rsidRPr="007C7E1C">
        <w:rPr>
          <w:rFonts w:ascii="Times New Roman" w:hAnsi="Times New Roman" w:cs="Times New Roman"/>
          <w:noProof/>
          <w:sz w:val="24"/>
          <w:szCs w:val="24"/>
        </w:rPr>
        <w:t>es et oeufs e</w:t>
      </w:r>
      <w:r w:rsidR="006E6C9F" w:rsidRPr="007C7E1C">
        <w:rPr>
          <w:rFonts w:ascii="Times New Roman" w:hAnsi="Times New Roman" w:cs="Times New Roman"/>
          <w:noProof/>
          <w:sz w:val="24"/>
          <w:szCs w:val="24"/>
        </w:rPr>
        <w:t>x</w:t>
      </w:r>
      <w:r w:rsidRPr="007C7E1C">
        <w:rPr>
          <w:rFonts w:ascii="Times New Roman" w:hAnsi="Times New Roman" w:cs="Times New Roman"/>
          <w:noProof/>
          <w:sz w:val="24"/>
          <w:szCs w:val="24"/>
        </w:rPr>
        <w:t>po</w:t>
      </w:r>
      <w:r w:rsidR="006E6C9F" w:rsidRPr="007C7E1C">
        <w:rPr>
          <w:rFonts w:ascii="Times New Roman" w:hAnsi="Times New Roman" w:cs="Times New Roman"/>
          <w:noProof/>
          <w:sz w:val="24"/>
          <w:szCs w:val="24"/>
        </w:rPr>
        <w:t>r</w:t>
      </w:r>
      <w:r w:rsidRPr="007C7E1C">
        <w:rPr>
          <w:rFonts w:ascii="Times New Roman" w:hAnsi="Times New Roman" w:cs="Times New Roman"/>
          <w:noProof/>
          <w:sz w:val="24"/>
          <w:szCs w:val="24"/>
        </w:rPr>
        <w:t xml:space="preserve">tés vers les pays ACP ont été de 750 </w:t>
      </w:r>
      <w:r w:rsidR="006E6C9F" w:rsidRPr="007C7E1C">
        <w:rPr>
          <w:rFonts w:ascii="Times New Roman" w:hAnsi="Times New Roman" w:cs="Times New Roman"/>
          <w:noProof/>
          <w:sz w:val="24"/>
          <w:szCs w:val="24"/>
        </w:rPr>
        <w:t>M</w:t>
      </w:r>
      <w:r w:rsidRPr="007C7E1C">
        <w:rPr>
          <w:rFonts w:ascii="Times New Roman" w:hAnsi="Times New Roman" w:cs="Times New Roman"/>
          <w:noProof/>
          <w:sz w:val="24"/>
          <w:szCs w:val="24"/>
        </w:rPr>
        <w:t xml:space="preserve">€ en 2012 </w:t>
      </w:r>
      <w:r w:rsidR="006E6C9F" w:rsidRPr="007C7E1C">
        <w:rPr>
          <w:rFonts w:ascii="Times New Roman" w:hAnsi="Times New Roman" w:cs="Times New Roman"/>
          <w:noProof/>
          <w:sz w:val="24"/>
          <w:szCs w:val="24"/>
        </w:rPr>
        <w:t>et de 813 M€ en 2013, dont 414 M€ à l'AO</w:t>
      </w:r>
      <w:r w:rsidR="006E6C9F">
        <w:rPr>
          <w:rStyle w:val="Appelnotedebasdep"/>
          <w:rFonts w:ascii="Times New Roman" w:hAnsi="Times New Roman" w:cs="Times New Roman"/>
          <w:noProof/>
          <w:sz w:val="24"/>
          <w:szCs w:val="24"/>
        </w:rPr>
        <w:footnoteReference w:id="10"/>
      </w:r>
      <w:r w:rsidR="006E6C9F" w:rsidRPr="007C7E1C">
        <w:rPr>
          <w:rFonts w:ascii="Times New Roman" w:hAnsi="Times New Roman" w:cs="Times New Roman"/>
          <w:noProof/>
          <w:sz w:val="24"/>
          <w:szCs w:val="24"/>
        </w:rPr>
        <w:t xml:space="preserve">. Pour les céréales on a tenu compte des céréales incluses dans les produits transformés, à l'exception de celles incluses dans les aliments du bétail qui ont été prises en compte pour le calcul des subventions aux produits animaux exportés. </w:t>
      </w:r>
      <w:r w:rsidR="007C7E1C" w:rsidRPr="007C7E1C">
        <w:rPr>
          <w:rFonts w:ascii="Times New Roman" w:hAnsi="Times New Roman"/>
          <w:sz w:val="24"/>
          <w:szCs w:val="24"/>
        </w:rPr>
        <w:t>Les 414 M€ à l'AO représentent 32% de la dotation annuelle des 1,3</w:t>
      </w:r>
      <w:r w:rsidR="007C7E1C" w:rsidRPr="007C7E1C">
        <w:rPr>
          <w:rFonts w:ascii="Times New Roman" w:hAnsi="Times New Roman"/>
          <w:bCs/>
          <w:sz w:val="24"/>
          <w:szCs w:val="24"/>
        </w:rPr>
        <w:t xml:space="preserve"> Md€ prévus pour l'aide totale (du FED + de l'UE) à l</w:t>
      </w:r>
      <w:r w:rsidR="007C7E1C" w:rsidRPr="007C7E1C">
        <w:rPr>
          <w:rFonts w:ascii="Times New Roman" w:eastAsia="Times New Roman" w:hAnsi="Times New Roman"/>
          <w:sz w:val="24"/>
          <w:szCs w:val="24"/>
          <w:lang w:eastAsia="fr-FR"/>
        </w:rPr>
        <w:t xml:space="preserve">'AO (6,5 Md€ sur 5 ans). </w:t>
      </w:r>
      <w:r w:rsidR="007C7E1C" w:rsidRPr="007C7E1C">
        <w:rPr>
          <w:rFonts w:ascii="Times New Roman" w:hAnsi="Times New Roman"/>
          <w:sz w:val="24"/>
          <w:szCs w:val="24"/>
        </w:rPr>
        <w:t>Ces 414 M€ sont 2,8 fois supérieurs aux 150 M€ de DD que la Côte d'Ivoire, le Ghana et le Nigéria auraient dû payer sur leurs exportations totales vers l'UE en 2013 sous le régime du SPG (système de préférences généralisées) qui prévaudrait si l'APE régional n'est pas ratifié.  Les 73,8 M€ de subventions sur les exportations agricoles de l'UE à la CI ont représenté les trois-quarts (74,5%) des DD qu'elle aurait dû payer sur ses exportations totales vers l'UE en 2013 sous le régime du SPG. Et l</w:t>
      </w:r>
      <w:r w:rsidR="007C7E1C">
        <w:rPr>
          <w:rFonts w:ascii="Times New Roman" w:hAnsi="Times New Roman"/>
          <w:sz w:val="24"/>
          <w:szCs w:val="24"/>
        </w:rPr>
        <w:t>es</w:t>
      </w:r>
      <w:r w:rsidR="007C7E1C" w:rsidRPr="007C7E1C">
        <w:rPr>
          <w:rFonts w:ascii="Times New Roman" w:eastAsia="Times New Roman" w:hAnsi="Times New Roman"/>
          <w:sz w:val="24"/>
          <w:szCs w:val="24"/>
          <w:lang w:eastAsia="fr-FR"/>
        </w:rPr>
        <w:t xml:space="preserve"> 70,9 M€ </w:t>
      </w:r>
      <w:r w:rsidR="007C7E1C" w:rsidRPr="007C7E1C">
        <w:rPr>
          <w:rFonts w:ascii="Times New Roman" w:hAnsi="Times New Roman"/>
          <w:sz w:val="24"/>
          <w:szCs w:val="24"/>
        </w:rPr>
        <w:t xml:space="preserve">de subventions sur les exportations agricoles de l'UE </w:t>
      </w:r>
      <w:r w:rsidR="007C7E1C" w:rsidRPr="007C7E1C">
        <w:rPr>
          <w:rFonts w:ascii="Times New Roman" w:eastAsia="Times New Roman" w:hAnsi="Times New Roman"/>
          <w:sz w:val="24"/>
          <w:szCs w:val="24"/>
          <w:lang w:eastAsia="fr-FR"/>
        </w:rPr>
        <w:t>au Ghana représentent 180% des 39,</w:t>
      </w:r>
      <w:r w:rsidR="007C7E1C">
        <w:rPr>
          <w:rFonts w:ascii="Times New Roman" w:eastAsia="Times New Roman" w:hAnsi="Times New Roman"/>
          <w:sz w:val="24"/>
          <w:szCs w:val="24"/>
          <w:lang w:eastAsia="fr-FR"/>
        </w:rPr>
        <w:t>4</w:t>
      </w:r>
      <w:r w:rsidR="007C7E1C" w:rsidRPr="007C7E1C">
        <w:rPr>
          <w:rFonts w:ascii="Times New Roman" w:eastAsia="Times New Roman" w:hAnsi="Times New Roman"/>
          <w:sz w:val="24"/>
          <w:szCs w:val="24"/>
          <w:lang w:eastAsia="fr-FR"/>
        </w:rPr>
        <w:t xml:space="preserve"> M€ de DD qu'il aurait dû payer en 2013 pour ses exportations dans l'UE au titre du SPG.</w:t>
      </w:r>
    </w:p>
    <w:p w:rsidR="005D05BD" w:rsidRDefault="005D05BD" w:rsidP="00DF1F4E">
      <w:pPr>
        <w:tabs>
          <w:tab w:val="left" w:pos="142"/>
        </w:tabs>
        <w:autoSpaceDE w:val="0"/>
        <w:autoSpaceDN w:val="0"/>
        <w:adjustRightInd w:val="0"/>
        <w:spacing w:after="0" w:line="240" w:lineRule="auto"/>
        <w:contextualSpacing/>
        <w:jc w:val="both"/>
        <w:rPr>
          <w:rFonts w:ascii="Times New Roman" w:hAnsi="Times New Roman" w:cs="Times New Roman"/>
          <w:b/>
          <w:bCs/>
          <w:sz w:val="24"/>
          <w:szCs w:val="24"/>
          <w:u w:val="single"/>
        </w:rPr>
      </w:pPr>
    </w:p>
    <w:p w:rsidR="002B6A15" w:rsidRDefault="002B6A15" w:rsidP="002B6A15">
      <w:pPr>
        <w:pStyle w:val="NumberParas"/>
        <w:spacing w:after="0"/>
        <w:rPr>
          <w:szCs w:val="24"/>
        </w:rPr>
      </w:pPr>
      <w:r w:rsidRPr="00DF4C05">
        <w:rPr>
          <w:b/>
          <w:bCs/>
          <w:szCs w:val="24"/>
          <w:u w:val="single"/>
        </w:rPr>
        <w:t>Ajoutons le cas particulier des échanges de coton</w:t>
      </w:r>
      <w:r w:rsidRPr="005C51CF">
        <w:rPr>
          <w:bCs/>
          <w:szCs w:val="24"/>
        </w:rPr>
        <w:t xml:space="preserve"> </w:t>
      </w:r>
      <w:r>
        <w:rPr>
          <w:bCs/>
          <w:szCs w:val="24"/>
        </w:rPr>
        <w:t xml:space="preserve">entre l'UE et l'AO en 2013. </w:t>
      </w:r>
      <w:r w:rsidRPr="00644592">
        <w:rPr>
          <w:szCs w:val="24"/>
        </w:rPr>
        <w:t xml:space="preserve">L'UE n'exporte </w:t>
      </w:r>
      <w:r>
        <w:rPr>
          <w:szCs w:val="24"/>
        </w:rPr>
        <w:t xml:space="preserve">évidemment pas </w:t>
      </w:r>
      <w:r w:rsidRPr="00644592">
        <w:rPr>
          <w:szCs w:val="24"/>
        </w:rPr>
        <w:t xml:space="preserve">de coton </w:t>
      </w:r>
      <w:r>
        <w:rPr>
          <w:szCs w:val="24"/>
        </w:rPr>
        <w:t>fibre (</w:t>
      </w:r>
      <w:r w:rsidRPr="00644592">
        <w:rPr>
          <w:szCs w:val="24"/>
        </w:rPr>
        <w:t>brut</w:t>
      </w:r>
      <w:r>
        <w:rPr>
          <w:szCs w:val="24"/>
        </w:rPr>
        <w:t xml:space="preserve">, cardé-peigné et déchets) </w:t>
      </w:r>
      <w:r w:rsidRPr="00644592">
        <w:rPr>
          <w:szCs w:val="24"/>
        </w:rPr>
        <w:t>vers l</w:t>
      </w:r>
      <w:r>
        <w:rPr>
          <w:szCs w:val="24"/>
        </w:rPr>
        <w:t>'AO</w:t>
      </w:r>
      <w:r w:rsidRPr="00644592">
        <w:rPr>
          <w:szCs w:val="24"/>
        </w:rPr>
        <w:t xml:space="preserve"> (</w:t>
      </w:r>
      <w:r>
        <w:rPr>
          <w:szCs w:val="24"/>
        </w:rPr>
        <w:t>ou si peu : 88,6 tonnes</w:t>
      </w:r>
      <w:r w:rsidRPr="00644592">
        <w:rPr>
          <w:szCs w:val="24"/>
        </w:rPr>
        <w:t xml:space="preserve">) </w:t>
      </w:r>
      <w:r>
        <w:rPr>
          <w:szCs w:val="24"/>
        </w:rPr>
        <w:t>et</w:t>
      </w:r>
      <w:r w:rsidRPr="00644592">
        <w:rPr>
          <w:szCs w:val="24"/>
        </w:rPr>
        <w:t xml:space="preserve"> a été </w:t>
      </w:r>
      <w:r>
        <w:rPr>
          <w:szCs w:val="24"/>
        </w:rPr>
        <w:t xml:space="preserve">par contre </w:t>
      </w:r>
      <w:r w:rsidRPr="00644592">
        <w:rPr>
          <w:szCs w:val="24"/>
        </w:rPr>
        <w:t xml:space="preserve">importatrice nette de </w:t>
      </w:r>
      <w:r>
        <w:rPr>
          <w:szCs w:val="24"/>
        </w:rPr>
        <w:t>29 827</w:t>
      </w:r>
      <w:r w:rsidRPr="00644592">
        <w:rPr>
          <w:szCs w:val="24"/>
        </w:rPr>
        <w:t xml:space="preserve"> t</w:t>
      </w:r>
      <w:r>
        <w:rPr>
          <w:szCs w:val="24"/>
        </w:rPr>
        <w:t>onnes</w:t>
      </w:r>
      <w:r w:rsidRPr="00644592">
        <w:rPr>
          <w:szCs w:val="24"/>
        </w:rPr>
        <w:t xml:space="preserve"> pour </w:t>
      </w:r>
      <w:r>
        <w:rPr>
          <w:szCs w:val="24"/>
        </w:rPr>
        <w:t>42</w:t>
      </w:r>
      <w:r w:rsidRPr="00644592">
        <w:rPr>
          <w:szCs w:val="24"/>
        </w:rPr>
        <w:t xml:space="preserve"> M€</w:t>
      </w:r>
      <w:r>
        <w:rPr>
          <w:szCs w:val="24"/>
        </w:rPr>
        <w:t>. M</w:t>
      </w:r>
      <w:r w:rsidRPr="00644592">
        <w:rPr>
          <w:szCs w:val="24"/>
        </w:rPr>
        <w:t xml:space="preserve">ais elle a </w:t>
      </w:r>
      <w:r>
        <w:rPr>
          <w:szCs w:val="24"/>
        </w:rPr>
        <w:t xml:space="preserve">exporté </w:t>
      </w:r>
      <w:r w:rsidR="00356626">
        <w:rPr>
          <w:szCs w:val="24"/>
        </w:rPr>
        <w:t xml:space="preserve">au total </w:t>
      </w:r>
      <w:r w:rsidR="004F09A1">
        <w:rPr>
          <w:szCs w:val="24"/>
          <w:lang w:val="fr-FR"/>
        </w:rPr>
        <w:t>9 602</w:t>
      </w:r>
      <w:r w:rsidR="004F09A1" w:rsidRPr="00644592">
        <w:rPr>
          <w:szCs w:val="24"/>
          <w:lang w:val="fr-FR"/>
        </w:rPr>
        <w:t xml:space="preserve"> t</w:t>
      </w:r>
      <w:r w:rsidR="00356626">
        <w:rPr>
          <w:szCs w:val="24"/>
          <w:lang w:val="fr-FR"/>
        </w:rPr>
        <w:t>onnes</w:t>
      </w:r>
      <w:r w:rsidR="004F09A1" w:rsidRPr="00644592">
        <w:rPr>
          <w:szCs w:val="24"/>
          <w:lang w:val="fr-FR"/>
        </w:rPr>
        <w:t xml:space="preserve"> d'équivalent coton fibre</w:t>
      </w:r>
      <w:r w:rsidR="00356626">
        <w:rPr>
          <w:szCs w:val="24"/>
          <w:lang w:val="fr-FR"/>
        </w:rPr>
        <w:t xml:space="preserve"> en comptant celui </w:t>
      </w:r>
      <w:r w:rsidR="004F09A1">
        <w:rPr>
          <w:szCs w:val="24"/>
        </w:rPr>
        <w:t xml:space="preserve">inclus dans </w:t>
      </w:r>
      <w:r w:rsidR="004F09A1" w:rsidRPr="00644592">
        <w:rPr>
          <w:szCs w:val="24"/>
        </w:rPr>
        <w:t xml:space="preserve">les </w:t>
      </w:r>
      <w:r w:rsidR="004F09A1">
        <w:rPr>
          <w:szCs w:val="24"/>
        </w:rPr>
        <w:t>filés,</w:t>
      </w:r>
      <w:r w:rsidR="004F09A1" w:rsidRPr="00644592">
        <w:rPr>
          <w:szCs w:val="24"/>
        </w:rPr>
        <w:t xml:space="preserve"> tissus</w:t>
      </w:r>
      <w:r w:rsidR="004F09A1">
        <w:rPr>
          <w:szCs w:val="24"/>
        </w:rPr>
        <w:t>,</w:t>
      </w:r>
      <w:r w:rsidR="004F09A1" w:rsidRPr="00644592">
        <w:rPr>
          <w:szCs w:val="24"/>
        </w:rPr>
        <w:t xml:space="preserve"> vêtements et linges de coton</w:t>
      </w:r>
      <w:r w:rsidR="004F09A1">
        <w:rPr>
          <w:szCs w:val="24"/>
        </w:rPr>
        <w:t xml:space="preserve">, </w:t>
      </w:r>
      <w:r>
        <w:rPr>
          <w:szCs w:val="24"/>
        </w:rPr>
        <w:t>pour 254,3</w:t>
      </w:r>
      <w:r w:rsidRPr="00644592">
        <w:rPr>
          <w:szCs w:val="24"/>
        </w:rPr>
        <w:t xml:space="preserve"> M€</w:t>
      </w:r>
      <w:r w:rsidR="004F09A1">
        <w:rPr>
          <w:szCs w:val="24"/>
        </w:rPr>
        <w:t>,</w:t>
      </w:r>
      <w:r>
        <w:rPr>
          <w:szCs w:val="24"/>
        </w:rPr>
        <w:t xml:space="preserve"> avec un </w:t>
      </w:r>
      <w:r w:rsidRPr="00644592">
        <w:rPr>
          <w:szCs w:val="24"/>
        </w:rPr>
        <w:t>solde net de ses échanges de produits du coton de 2</w:t>
      </w:r>
      <w:r>
        <w:rPr>
          <w:szCs w:val="24"/>
        </w:rPr>
        <w:t xml:space="preserve">04,9 </w:t>
      </w:r>
      <w:r w:rsidRPr="00644592">
        <w:rPr>
          <w:szCs w:val="24"/>
        </w:rPr>
        <w:t xml:space="preserve">M€. </w:t>
      </w:r>
      <w:r w:rsidRPr="00644592">
        <w:rPr>
          <w:szCs w:val="24"/>
          <w:lang w:val="fr-FR"/>
        </w:rPr>
        <w:t xml:space="preserve">Puisque l'UE </w:t>
      </w:r>
      <w:r w:rsidR="004F09A1">
        <w:rPr>
          <w:szCs w:val="24"/>
          <w:lang w:val="fr-FR"/>
        </w:rPr>
        <w:t xml:space="preserve">est champion du monde </w:t>
      </w:r>
      <w:r w:rsidR="00356626">
        <w:rPr>
          <w:szCs w:val="24"/>
          <w:lang w:val="fr-FR"/>
        </w:rPr>
        <w:t xml:space="preserve">incontesté </w:t>
      </w:r>
      <w:r w:rsidR="004F09A1">
        <w:rPr>
          <w:szCs w:val="24"/>
          <w:lang w:val="fr-FR"/>
        </w:rPr>
        <w:t xml:space="preserve">pour la subvention </w:t>
      </w:r>
      <w:r w:rsidR="00356626">
        <w:rPr>
          <w:szCs w:val="24"/>
          <w:lang w:val="fr-FR"/>
        </w:rPr>
        <w:t>par tonne de</w:t>
      </w:r>
      <w:r w:rsidR="004F09A1">
        <w:rPr>
          <w:szCs w:val="24"/>
          <w:lang w:val="fr-FR"/>
        </w:rPr>
        <w:t xml:space="preserve"> coton fibre</w:t>
      </w:r>
      <w:r w:rsidR="00DF4C05">
        <w:rPr>
          <w:szCs w:val="24"/>
          <w:lang w:val="fr-FR"/>
        </w:rPr>
        <w:t xml:space="preserve"> </w:t>
      </w:r>
      <w:r w:rsidR="00DF4C05">
        <w:rPr>
          <w:szCs w:val="24"/>
        </w:rPr>
        <w:t>(</w:t>
      </w:r>
      <w:r w:rsidR="00DF4C05" w:rsidRPr="00644592">
        <w:rPr>
          <w:szCs w:val="24"/>
        </w:rPr>
        <w:t>brut</w:t>
      </w:r>
      <w:r w:rsidR="00DF4C05">
        <w:rPr>
          <w:szCs w:val="24"/>
        </w:rPr>
        <w:t>, cardé-peigné et déchets)</w:t>
      </w:r>
      <w:r w:rsidRPr="00644592">
        <w:rPr>
          <w:szCs w:val="24"/>
          <w:lang w:val="fr-FR"/>
        </w:rPr>
        <w:t xml:space="preserve">, </w:t>
      </w:r>
      <w:r w:rsidR="00356626">
        <w:rPr>
          <w:szCs w:val="24"/>
          <w:lang w:val="fr-FR"/>
        </w:rPr>
        <w:t>de 2</w:t>
      </w:r>
      <w:r w:rsidR="00C56476">
        <w:rPr>
          <w:szCs w:val="24"/>
          <w:lang w:val="fr-FR"/>
        </w:rPr>
        <w:t xml:space="preserve"> </w:t>
      </w:r>
      <w:r w:rsidR="00356626">
        <w:rPr>
          <w:szCs w:val="24"/>
          <w:lang w:val="fr-FR"/>
        </w:rPr>
        <w:t>17</w:t>
      </w:r>
      <w:r w:rsidR="00DF4C05">
        <w:rPr>
          <w:szCs w:val="24"/>
          <w:lang w:val="fr-FR"/>
        </w:rPr>
        <w:t>2</w:t>
      </w:r>
      <w:r w:rsidR="00356626">
        <w:rPr>
          <w:szCs w:val="24"/>
          <w:lang w:val="fr-FR"/>
        </w:rPr>
        <w:t xml:space="preserve"> € en 2013</w:t>
      </w:r>
      <w:r w:rsidR="00DF4C05">
        <w:rPr>
          <w:szCs w:val="24"/>
          <w:lang w:val="fr-FR"/>
        </w:rPr>
        <w:t xml:space="preserve"> – soit 51,5% de plus que le prix FAB de 1 434 €/tonne à l'exportation –</w:t>
      </w:r>
      <w:r w:rsidR="00356626">
        <w:rPr>
          <w:szCs w:val="24"/>
          <w:lang w:val="fr-FR"/>
        </w:rPr>
        <w:t xml:space="preserve">, </w:t>
      </w:r>
      <w:r w:rsidRPr="00644592">
        <w:rPr>
          <w:szCs w:val="24"/>
          <w:lang w:val="fr-FR"/>
        </w:rPr>
        <w:t xml:space="preserve">la subvention totale à ces exportations a été de </w:t>
      </w:r>
      <w:r>
        <w:rPr>
          <w:szCs w:val="24"/>
          <w:lang w:val="fr-FR"/>
        </w:rPr>
        <w:t>2</w:t>
      </w:r>
      <w:r w:rsidRPr="00644592">
        <w:rPr>
          <w:szCs w:val="24"/>
          <w:lang w:val="fr-FR"/>
        </w:rPr>
        <w:t>0,</w:t>
      </w:r>
      <w:r>
        <w:rPr>
          <w:szCs w:val="24"/>
          <w:lang w:val="fr-FR"/>
        </w:rPr>
        <w:t>9</w:t>
      </w:r>
      <w:r w:rsidRPr="00644592">
        <w:rPr>
          <w:szCs w:val="24"/>
          <w:lang w:val="fr-FR"/>
        </w:rPr>
        <w:t xml:space="preserve"> M€. C</w:t>
      </w:r>
      <w:r w:rsidRPr="00644592">
        <w:rPr>
          <w:szCs w:val="24"/>
        </w:rPr>
        <w:t>e</w:t>
      </w:r>
      <w:r>
        <w:rPr>
          <w:szCs w:val="24"/>
        </w:rPr>
        <w:t xml:space="preserve"> qui </w:t>
      </w:r>
      <w:r w:rsidRPr="00644592">
        <w:rPr>
          <w:szCs w:val="24"/>
        </w:rPr>
        <w:t xml:space="preserve">représente </w:t>
      </w:r>
      <w:r>
        <w:rPr>
          <w:szCs w:val="24"/>
        </w:rPr>
        <w:t>4</w:t>
      </w:r>
      <w:r w:rsidR="00356626">
        <w:rPr>
          <w:szCs w:val="24"/>
        </w:rPr>
        <w:t xml:space="preserve">9,4% </w:t>
      </w:r>
      <w:r w:rsidRPr="00644592">
        <w:rPr>
          <w:szCs w:val="24"/>
        </w:rPr>
        <w:t>des exportations de coton fibre (brut, cardé ou peigné et déchets de coton) de</w:t>
      </w:r>
      <w:r>
        <w:rPr>
          <w:szCs w:val="24"/>
        </w:rPr>
        <w:t xml:space="preserve"> l'AO </w:t>
      </w:r>
      <w:r w:rsidRPr="00644592">
        <w:rPr>
          <w:szCs w:val="24"/>
        </w:rPr>
        <w:t xml:space="preserve">vers l'UE </w:t>
      </w:r>
      <w:r w:rsidR="00356626">
        <w:rPr>
          <w:szCs w:val="24"/>
        </w:rPr>
        <w:t>et 43% de ses exportations totales de coton fibre</w:t>
      </w:r>
      <w:r w:rsidR="00FA6BFB">
        <w:rPr>
          <w:szCs w:val="24"/>
        </w:rPr>
        <w:t xml:space="preserve"> vers l'UE</w:t>
      </w:r>
      <w:r w:rsidR="00356626">
        <w:rPr>
          <w:szCs w:val="24"/>
        </w:rPr>
        <w:t xml:space="preserve">, y compris </w:t>
      </w:r>
      <w:r w:rsidR="00FA6BFB">
        <w:rPr>
          <w:szCs w:val="24"/>
        </w:rPr>
        <w:t xml:space="preserve">celui </w:t>
      </w:r>
      <w:r w:rsidR="00356626">
        <w:rPr>
          <w:szCs w:val="24"/>
        </w:rPr>
        <w:t>inclus dans les filés, tissus</w:t>
      </w:r>
      <w:r w:rsidR="00FA6BFB">
        <w:rPr>
          <w:szCs w:val="24"/>
        </w:rPr>
        <w:t>,</w:t>
      </w:r>
      <w:r w:rsidR="00356626">
        <w:rPr>
          <w:szCs w:val="24"/>
        </w:rPr>
        <w:t xml:space="preserve"> vêtements</w:t>
      </w:r>
      <w:r w:rsidR="00FA6BFB">
        <w:rPr>
          <w:szCs w:val="24"/>
        </w:rPr>
        <w:t xml:space="preserve"> et linges</w:t>
      </w:r>
      <w:r>
        <w:rPr>
          <w:szCs w:val="24"/>
        </w:rPr>
        <w:t xml:space="preserve">. </w:t>
      </w:r>
      <w:r w:rsidR="00FA6BFB">
        <w:rPr>
          <w:szCs w:val="24"/>
        </w:rPr>
        <w:t>Ces 20,9 M€ sont aussi à comparer aux 2,75 M€ par an du "</w:t>
      </w:r>
      <w:r w:rsidR="00FA6BFB" w:rsidRPr="0025410E">
        <w:rPr>
          <w:szCs w:val="24"/>
        </w:rPr>
        <w:t>Cadre d’action du partenariat UE-Afrique sur le coton</w:t>
      </w:r>
      <w:r w:rsidR="00FA6BFB">
        <w:rPr>
          <w:szCs w:val="24"/>
        </w:rPr>
        <w:t>"</w:t>
      </w:r>
      <w:r w:rsidR="00C56476">
        <w:rPr>
          <w:szCs w:val="24"/>
        </w:rPr>
        <w:t xml:space="preserve"> d'autant qu'il concerne l'ensemble de l'Afrique</w:t>
      </w:r>
      <w:r w:rsidR="00C56476">
        <w:rPr>
          <w:rStyle w:val="Appelnotedebasdep"/>
          <w:szCs w:val="24"/>
        </w:rPr>
        <w:footnoteReference w:id="11"/>
      </w:r>
      <w:r w:rsidR="00C56476">
        <w:rPr>
          <w:szCs w:val="24"/>
        </w:rPr>
        <w:t>.</w:t>
      </w:r>
      <w:r w:rsidR="00FA6BFB">
        <w:rPr>
          <w:szCs w:val="24"/>
        </w:rPr>
        <w:t xml:space="preserve"> </w:t>
      </w:r>
      <w:r>
        <w:rPr>
          <w:szCs w:val="24"/>
        </w:rPr>
        <w:t xml:space="preserve">  </w:t>
      </w:r>
    </w:p>
    <w:p w:rsidR="00356626" w:rsidRDefault="00356626" w:rsidP="00356626">
      <w:pPr>
        <w:spacing w:after="0" w:line="240" w:lineRule="auto"/>
        <w:jc w:val="center"/>
        <w:rPr>
          <w:rFonts w:ascii="Times New Roman" w:hAnsi="Times New Roman"/>
        </w:rPr>
      </w:pPr>
    </w:p>
    <w:p w:rsidR="00356626" w:rsidRPr="001807EA" w:rsidRDefault="00356626" w:rsidP="00356626">
      <w:pPr>
        <w:spacing w:after="0" w:line="240" w:lineRule="auto"/>
        <w:jc w:val="center"/>
        <w:rPr>
          <w:rFonts w:ascii="Times New Roman" w:hAnsi="Times New Roman"/>
        </w:rPr>
      </w:pPr>
      <w:r>
        <w:rPr>
          <w:rFonts w:ascii="Times New Roman" w:hAnsi="Times New Roman"/>
        </w:rPr>
        <w:t xml:space="preserve">Tableau 2 – </w:t>
      </w:r>
      <w:r w:rsidRPr="001807EA">
        <w:rPr>
          <w:rFonts w:ascii="Times New Roman" w:hAnsi="Times New Roman"/>
        </w:rPr>
        <w:t>Echanges de produits du coton de l'UE avec l'Afrique de l'Ouest en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45"/>
        <w:gridCol w:w="1089"/>
        <w:gridCol w:w="735"/>
        <w:gridCol w:w="646"/>
        <w:gridCol w:w="698"/>
        <w:gridCol w:w="750"/>
        <w:gridCol w:w="953"/>
        <w:gridCol w:w="698"/>
        <w:gridCol w:w="750"/>
        <w:gridCol w:w="600"/>
        <w:gridCol w:w="670"/>
      </w:tblGrid>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p>
        </w:tc>
        <w:tc>
          <w:tcPr>
            <w:tcW w:w="1677" w:type="pct"/>
            <w:gridSpan w:val="4"/>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Coton fibre</w:t>
            </w:r>
          </w:p>
        </w:tc>
        <w:tc>
          <w:tcPr>
            <w:tcW w:w="1293" w:type="pct"/>
            <w:gridSpan w:val="3"/>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Filés, tissus</w:t>
            </w:r>
          </w:p>
        </w:tc>
        <w:tc>
          <w:tcPr>
            <w:tcW w:w="1102" w:type="pct"/>
            <w:gridSpan w:val="3"/>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Vêtements, linges divers</w:t>
            </w:r>
          </w:p>
        </w:tc>
        <w:tc>
          <w:tcPr>
            <w:tcW w:w="361"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Total</w:t>
            </w:r>
          </w:p>
        </w:tc>
      </w:tr>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brut</w:t>
            </w:r>
          </w:p>
        </w:tc>
        <w:tc>
          <w:tcPr>
            <w:tcW w:w="58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Cardé-peigné</w:t>
            </w:r>
          </w:p>
        </w:tc>
        <w:tc>
          <w:tcPr>
            <w:tcW w:w="39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déchets</w:t>
            </w:r>
          </w:p>
        </w:tc>
        <w:tc>
          <w:tcPr>
            <w:tcW w:w="348"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Total</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Produit</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 coton</w:t>
            </w:r>
          </w:p>
        </w:tc>
        <w:tc>
          <w:tcPr>
            <w:tcW w:w="513"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Total coton</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Produit</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 coton</w:t>
            </w:r>
          </w:p>
        </w:tc>
        <w:tc>
          <w:tcPr>
            <w:tcW w:w="323"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coton</w:t>
            </w:r>
          </w:p>
        </w:tc>
        <w:tc>
          <w:tcPr>
            <w:tcW w:w="361"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coton</w:t>
            </w:r>
          </w:p>
        </w:tc>
      </w:tr>
      <w:tr w:rsidR="00356626" w:rsidRPr="00A81A10" w:rsidTr="006124D4">
        <w:trPr>
          <w:trHeight w:val="174"/>
        </w:trPr>
        <w:tc>
          <w:tcPr>
            <w:tcW w:w="5000" w:type="pct"/>
            <w:gridSpan w:val="12"/>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Echanges en tonnes</w:t>
            </w:r>
          </w:p>
        </w:tc>
      </w:tr>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r w:rsidRPr="00CE5663">
              <w:rPr>
                <w:rFonts w:ascii="Arial Narrow" w:hAnsi="Arial Narrow"/>
                <w:sz w:val="16"/>
                <w:szCs w:val="16"/>
              </w:rPr>
              <w:t>Exportations</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5,4</w:t>
            </w:r>
          </w:p>
        </w:tc>
        <w:tc>
          <w:tcPr>
            <w:tcW w:w="58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2</w:t>
            </w:r>
            <w:r>
              <w:rPr>
                <w:rFonts w:ascii="Arial Narrow" w:hAnsi="Arial Narrow"/>
                <w:sz w:val="16"/>
                <w:szCs w:val="16"/>
              </w:rPr>
              <w:t>,6</w:t>
            </w:r>
          </w:p>
        </w:tc>
        <w:tc>
          <w:tcPr>
            <w:tcW w:w="39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8</w:t>
            </w:r>
            <w:r>
              <w:rPr>
                <w:rFonts w:ascii="Arial Narrow" w:hAnsi="Arial Narrow"/>
                <w:sz w:val="16"/>
                <w:szCs w:val="16"/>
              </w:rPr>
              <w:t>0,6</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8</w:t>
            </w:r>
            <w:r>
              <w:rPr>
                <w:rFonts w:ascii="Arial Narrow" w:hAnsi="Arial Narrow"/>
                <w:sz w:val="16"/>
                <w:szCs w:val="16"/>
              </w:rPr>
              <w:t>8,6</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10796</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80%</w:t>
            </w:r>
          </w:p>
        </w:tc>
        <w:tc>
          <w:tcPr>
            <w:tcW w:w="51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8637</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1168</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75%</w:t>
            </w:r>
          </w:p>
        </w:tc>
        <w:tc>
          <w:tcPr>
            <w:tcW w:w="32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876</w:t>
            </w:r>
          </w:p>
        </w:tc>
        <w:tc>
          <w:tcPr>
            <w:tcW w:w="362"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9602</w:t>
            </w:r>
          </w:p>
        </w:tc>
      </w:tr>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r w:rsidRPr="00CE5663">
              <w:rPr>
                <w:rFonts w:ascii="Arial Narrow" w:hAnsi="Arial Narrow"/>
                <w:sz w:val="16"/>
                <w:szCs w:val="16"/>
              </w:rPr>
              <w:t xml:space="preserve">Importations </w:t>
            </w:r>
          </w:p>
        </w:tc>
        <w:tc>
          <w:tcPr>
            <w:tcW w:w="347" w:type="pct"/>
            <w:shd w:val="clear" w:color="auto" w:fill="auto"/>
          </w:tcPr>
          <w:p w:rsidR="00356626" w:rsidRPr="00CC04C0" w:rsidRDefault="00356626" w:rsidP="006124D4">
            <w:pPr>
              <w:spacing w:after="0" w:line="240" w:lineRule="auto"/>
              <w:jc w:val="center"/>
              <w:rPr>
                <w:rFonts w:ascii="Arial Narrow" w:hAnsi="Arial Narrow"/>
                <w:sz w:val="16"/>
                <w:szCs w:val="16"/>
              </w:rPr>
            </w:pPr>
            <w:r w:rsidRPr="00CC04C0">
              <w:rPr>
                <w:rFonts w:ascii="Arial Narrow" w:eastAsia="Times New Roman" w:hAnsi="Arial Narrow" w:cs="Arial"/>
                <w:sz w:val="16"/>
                <w:szCs w:val="16"/>
                <w:lang w:eastAsia="fr-FR"/>
              </w:rPr>
              <w:t>28227</w:t>
            </w:r>
          </w:p>
        </w:tc>
        <w:tc>
          <w:tcPr>
            <w:tcW w:w="58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512D51">
              <w:rPr>
                <w:rFonts w:ascii="Arial Narrow" w:eastAsia="Times New Roman" w:hAnsi="Arial Narrow"/>
                <w:sz w:val="16"/>
                <w:szCs w:val="16"/>
                <w:lang w:eastAsia="fr-FR"/>
              </w:rPr>
              <w:t>117</w:t>
            </w:r>
          </w:p>
        </w:tc>
        <w:tc>
          <w:tcPr>
            <w:tcW w:w="39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C04C0">
              <w:rPr>
                <w:rFonts w:ascii="Arial Narrow" w:eastAsia="Times New Roman" w:hAnsi="Arial Narrow" w:cs="Arial"/>
                <w:sz w:val="16"/>
                <w:szCs w:val="16"/>
                <w:lang w:eastAsia="fr-FR"/>
              </w:rPr>
              <w:t>1571</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29916</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2702</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2162</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119</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89</w:t>
            </w:r>
          </w:p>
        </w:tc>
        <w:tc>
          <w:tcPr>
            <w:tcW w:w="362"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32167</w:t>
            </w:r>
          </w:p>
        </w:tc>
      </w:tr>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r w:rsidRPr="00CE5663">
              <w:rPr>
                <w:rFonts w:ascii="Arial Narrow" w:hAnsi="Arial Narrow"/>
                <w:sz w:val="16"/>
                <w:szCs w:val="16"/>
              </w:rPr>
              <w:t>Solde</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eastAsia="Times New Roman" w:hAnsi="Arial Narrow"/>
                <w:sz w:val="16"/>
                <w:szCs w:val="16"/>
                <w:lang w:eastAsia="fr-FR"/>
              </w:rPr>
              <w:t>-</w:t>
            </w:r>
            <w:r w:rsidRPr="00016874">
              <w:rPr>
                <w:rFonts w:ascii="Arial Narrow" w:eastAsia="Times New Roman" w:hAnsi="Arial Narrow"/>
                <w:sz w:val="16"/>
                <w:szCs w:val="16"/>
                <w:lang w:eastAsia="fr-FR"/>
              </w:rPr>
              <w:t>2822</w:t>
            </w:r>
            <w:r>
              <w:rPr>
                <w:rFonts w:ascii="Arial Narrow" w:eastAsia="Times New Roman" w:hAnsi="Arial Narrow"/>
                <w:sz w:val="16"/>
                <w:szCs w:val="16"/>
                <w:lang w:eastAsia="fr-FR"/>
              </w:rPr>
              <w:t>2</w:t>
            </w:r>
          </w:p>
        </w:tc>
        <w:tc>
          <w:tcPr>
            <w:tcW w:w="586"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016874">
              <w:rPr>
                <w:rFonts w:ascii="Arial Narrow" w:eastAsia="Times New Roman" w:hAnsi="Arial Narrow"/>
                <w:sz w:val="16"/>
                <w:szCs w:val="16"/>
                <w:lang w:eastAsia="fr-FR"/>
              </w:rPr>
              <w:t>-115</w:t>
            </w:r>
          </w:p>
        </w:tc>
        <w:tc>
          <w:tcPr>
            <w:tcW w:w="39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eastAsia="Times New Roman" w:hAnsi="Arial Narrow"/>
                <w:sz w:val="16"/>
                <w:szCs w:val="16"/>
                <w:lang w:eastAsia="fr-FR"/>
              </w:rPr>
              <w:t>-</w:t>
            </w:r>
            <w:r w:rsidRPr="00016874">
              <w:rPr>
                <w:rFonts w:ascii="Arial Narrow" w:eastAsia="Times New Roman" w:hAnsi="Arial Narrow"/>
                <w:sz w:val="16"/>
                <w:szCs w:val="16"/>
                <w:lang w:eastAsia="fr-FR"/>
              </w:rPr>
              <w:t>149</w:t>
            </w:r>
            <w:r>
              <w:rPr>
                <w:rFonts w:ascii="Arial Narrow" w:eastAsia="Times New Roman" w:hAnsi="Arial Narrow"/>
                <w:sz w:val="16"/>
                <w:szCs w:val="16"/>
                <w:lang w:eastAsia="fr-FR"/>
              </w:rPr>
              <w:t>1</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-29827</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8095</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6476</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1131</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848</w:t>
            </w:r>
          </w:p>
        </w:tc>
        <w:tc>
          <w:tcPr>
            <w:tcW w:w="362"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-22503</w:t>
            </w:r>
          </w:p>
        </w:tc>
      </w:tr>
      <w:tr w:rsidR="00356626" w:rsidRPr="00A81A10" w:rsidTr="006124D4">
        <w:tc>
          <w:tcPr>
            <w:tcW w:w="5000" w:type="pct"/>
            <w:gridSpan w:val="12"/>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Echanges en 1000 €</w:t>
            </w:r>
          </w:p>
        </w:tc>
      </w:tr>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r w:rsidRPr="00CE5663">
              <w:rPr>
                <w:rFonts w:ascii="Arial Narrow" w:hAnsi="Arial Narrow"/>
                <w:sz w:val="16"/>
                <w:szCs w:val="16"/>
              </w:rPr>
              <w:t>Exportations</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43</w:t>
            </w:r>
          </w:p>
        </w:tc>
        <w:tc>
          <w:tcPr>
            <w:tcW w:w="58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44</w:t>
            </w:r>
          </w:p>
        </w:tc>
        <w:tc>
          <w:tcPr>
            <w:tcW w:w="39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25</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112</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303939</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80%</w:t>
            </w:r>
          </w:p>
        </w:tc>
        <w:tc>
          <w:tcPr>
            <w:tcW w:w="51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243151</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14720</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75%</w:t>
            </w:r>
          </w:p>
        </w:tc>
        <w:tc>
          <w:tcPr>
            <w:tcW w:w="32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11040</w:t>
            </w:r>
          </w:p>
        </w:tc>
        <w:tc>
          <w:tcPr>
            <w:tcW w:w="362"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254303</w:t>
            </w:r>
          </w:p>
        </w:tc>
      </w:tr>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r w:rsidRPr="00CE5663">
              <w:rPr>
                <w:rFonts w:ascii="Arial Narrow" w:hAnsi="Arial Narrow"/>
                <w:sz w:val="16"/>
                <w:szCs w:val="16"/>
              </w:rPr>
              <w:t xml:space="preserve">Importations </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40802</w:t>
            </w:r>
          </w:p>
        </w:tc>
        <w:tc>
          <w:tcPr>
            <w:tcW w:w="58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1319</w:t>
            </w:r>
          </w:p>
        </w:tc>
        <w:tc>
          <w:tcPr>
            <w:tcW w:w="39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183</w:t>
            </w:r>
          </w:p>
        </w:tc>
        <w:tc>
          <w:tcPr>
            <w:tcW w:w="348"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42304</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5737</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4590</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2341</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1756</w:t>
            </w:r>
          </w:p>
        </w:tc>
        <w:tc>
          <w:tcPr>
            <w:tcW w:w="361"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48650</w:t>
            </w:r>
          </w:p>
        </w:tc>
      </w:tr>
      <w:tr w:rsidR="00356626" w:rsidRPr="00A81A10" w:rsidTr="006124D4">
        <w:tc>
          <w:tcPr>
            <w:tcW w:w="566" w:type="pct"/>
            <w:shd w:val="clear" w:color="auto" w:fill="auto"/>
          </w:tcPr>
          <w:p w:rsidR="00356626" w:rsidRPr="00CE5663" w:rsidRDefault="00356626" w:rsidP="006124D4">
            <w:pPr>
              <w:spacing w:after="0" w:line="240" w:lineRule="auto"/>
              <w:rPr>
                <w:rFonts w:ascii="Arial Narrow" w:hAnsi="Arial Narrow"/>
                <w:sz w:val="16"/>
                <w:szCs w:val="16"/>
              </w:rPr>
            </w:pPr>
            <w:r w:rsidRPr="00CE5663">
              <w:rPr>
                <w:rFonts w:ascii="Arial Narrow" w:hAnsi="Arial Narrow"/>
                <w:sz w:val="16"/>
                <w:szCs w:val="16"/>
              </w:rPr>
              <w:t>Solde</w:t>
            </w:r>
          </w:p>
        </w:tc>
        <w:tc>
          <w:tcPr>
            <w:tcW w:w="347"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-40759</w:t>
            </w:r>
          </w:p>
        </w:tc>
        <w:tc>
          <w:tcPr>
            <w:tcW w:w="58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-1274</w:t>
            </w:r>
          </w:p>
        </w:tc>
        <w:tc>
          <w:tcPr>
            <w:tcW w:w="39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-158</w:t>
            </w:r>
          </w:p>
        </w:tc>
        <w:tc>
          <w:tcPr>
            <w:tcW w:w="348"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-42192</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297202</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51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237762</w:t>
            </w:r>
          </w:p>
        </w:tc>
        <w:tc>
          <w:tcPr>
            <w:tcW w:w="376"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12380</w:t>
            </w:r>
          </w:p>
        </w:tc>
        <w:tc>
          <w:tcPr>
            <w:tcW w:w="404" w:type="pct"/>
            <w:shd w:val="clear" w:color="auto" w:fill="auto"/>
          </w:tcPr>
          <w:p w:rsidR="00356626" w:rsidRPr="00CE5663" w:rsidRDefault="00356626" w:rsidP="006124D4">
            <w:pPr>
              <w:spacing w:after="0" w:line="240" w:lineRule="auto"/>
              <w:jc w:val="center"/>
              <w:rPr>
                <w:rFonts w:ascii="Arial Narrow" w:hAnsi="Arial Narrow"/>
                <w:sz w:val="16"/>
                <w:szCs w:val="16"/>
              </w:rPr>
            </w:pPr>
            <w:r w:rsidRPr="00CE5663">
              <w:rPr>
                <w:rFonts w:ascii="Arial Narrow" w:hAnsi="Arial Narrow"/>
                <w:sz w:val="16"/>
                <w:szCs w:val="16"/>
              </w:rPr>
              <w:t>"</w:t>
            </w:r>
          </w:p>
        </w:tc>
        <w:tc>
          <w:tcPr>
            <w:tcW w:w="323"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9285</w:t>
            </w:r>
          </w:p>
        </w:tc>
        <w:tc>
          <w:tcPr>
            <w:tcW w:w="361" w:type="pct"/>
            <w:shd w:val="clear" w:color="auto" w:fill="auto"/>
          </w:tcPr>
          <w:p w:rsidR="00356626" w:rsidRPr="00CE5663" w:rsidRDefault="00356626" w:rsidP="006124D4">
            <w:pPr>
              <w:spacing w:after="0" w:line="240" w:lineRule="auto"/>
              <w:jc w:val="center"/>
              <w:rPr>
                <w:rFonts w:ascii="Arial Narrow" w:hAnsi="Arial Narrow"/>
                <w:sz w:val="16"/>
                <w:szCs w:val="16"/>
              </w:rPr>
            </w:pPr>
            <w:r>
              <w:rPr>
                <w:rFonts w:ascii="Arial Narrow" w:hAnsi="Arial Narrow"/>
                <w:sz w:val="16"/>
                <w:szCs w:val="16"/>
              </w:rPr>
              <w:t>204855</w:t>
            </w:r>
          </w:p>
        </w:tc>
      </w:tr>
    </w:tbl>
    <w:p w:rsidR="00356626" w:rsidRPr="00356626" w:rsidRDefault="00356626" w:rsidP="00356626">
      <w:pPr>
        <w:spacing w:after="0" w:line="240" w:lineRule="auto"/>
        <w:rPr>
          <w:rFonts w:ascii="Times New Roman" w:hAnsi="Times New Roman"/>
          <w:sz w:val="20"/>
          <w:szCs w:val="20"/>
        </w:rPr>
      </w:pPr>
      <w:r w:rsidRPr="00356626">
        <w:rPr>
          <w:rFonts w:ascii="Times New Roman" w:hAnsi="Times New Roman"/>
          <w:sz w:val="20"/>
          <w:szCs w:val="20"/>
        </w:rPr>
        <w:t>Source : Eurostat</w:t>
      </w:r>
    </w:p>
    <w:p w:rsidR="002B6A15" w:rsidRDefault="002B6A15" w:rsidP="00DF1F4E">
      <w:pPr>
        <w:tabs>
          <w:tab w:val="left" w:pos="142"/>
        </w:tabs>
        <w:autoSpaceDE w:val="0"/>
        <w:autoSpaceDN w:val="0"/>
        <w:adjustRightInd w:val="0"/>
        <w:spacing w:after="0" w:line="240" w:lineRule="auto"/>
        <w:contextualSpacing/>
        <w:jc w:val="both"/>
        <w:rPr>
          <w:rFonts w:ascii="Times New Roman" w:hAnsi="Times New Roman" w:cs="Times New Roman"/>
          <w:b/>
          <w:bCs/>
          <w:sz w:val="24"/>
          <w:szCs w:val="24"/>
          <w:u w:val="single"/>
        </w:rPr>
      </w:pPr>
    </w:p>
    <w:p w:rsidR="005C51CF" w:rsidRDefault="005C51CF" w:rsidP="00DF1F4E">
      <w:pPr>
        <w:tabs>
          <w:tab w:val="left" w:pos="142"/>
        </w:tabs>
        <w:autoSpaceDE w:val="0"/>
        <w:autoSpaceDN w:val="0"/>
        <w:adjustRightInd w:val="0"/>
        <w:spacing w:after="0" w:line="240" w:lineRule="auto"/>
        <w:contextualSpacing/>
        <w:jc w:val="both"/>
        <w:rPr>
          <w:rFonts w:ascii="Times New Roman" w:hAnsi="Times New Roman" w:cs="Times New Roman"/>
          <w:b/>
          <w:bCs/>
          <w:sz w:val="24"/>
          <w:szCs w:val="24"/>
          <w:u w:val="single"/>
        </w:rPr>
      </w:pPr>
    </w:p>
    <w:p w:rsidR="005C51CF" w:rsidRDefault="005C51CF" w:rsidP="00DF1F4E">
      <w:pPr>
        <w:tabs>
          <w:tab w:val="left" w:pos="142"/>
        </w:tabs>
        <w:autoSpaceDE w:val="0"/>
        <w:autoSpaceDN w:val="0"/>
        <w:adjustRightInd w:val="0"/>
        <w:spacing w:after="0" w:line="240" w:lineRule="auto"/>
        <w:contextualSpacing/>
        <w:jc w:val="both"/>
        <w:rPr>
          <w:rFonts w:ascii="Times New Roman" w:hAnsi="Times New Roman" w:cs="Times New Roman"/>
          <w:b/>
          <w:bCs/>
          <w:sz w:val="24"/>
          <w:szCs w:val="24"/>
          <w:u w:val="single"/>
        </w:rPr>
      </w:pPr>
    </w:p>
    <w:p w:rsidR="00CD29A1" w:rsidRDefault="00742046"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u w:val="single"/>
        </w:rPr>
        <w:lastRenderedPageBreak/>
        <w:t>En</w:t>
      </w:r>
      <w:r w:rsidR="00F057B6" w:rsidRPr="007073C4">
        <w:rPr>
          <w:rFonts w:ascii="Times New Roman" w:hAnsi="Times New Roman" w:cs="Times New Roman"/>
          <w:b/>
          <w:bCs/>
          <w:sz w:val="24"/>
          <w:szCs w:val="24"/>
          <w:u w:val="single"/>
        </w:rPr>
        <w:t xml:space="preserve"> conclu</w:t>
      </w:r>
      <w:r>
        <w:rPr>
          <w:rFonts w:ascii="Times New Roman" w:hAnsi="Times New Roman" w:cs="Times New Roman"/>
          <w:b/>
          <w:bCs/>
          <w:sz w:val="24"/>
          <w:szCs w:val="24"/>
          <w:u w:val="single"/>
        </w:rPr>
        <w:t>sion</w:t>
      </w:r>
      <w:r w:rsidR="00697E2D">
        <w:rPr>
          <w:rFonts w:ascii="Times New Roman" w:hAnsi="Times New Roman" w:cs="Times New Roman"/>
          <w:bCs/>
          <w:sz w:val="24"/>
          <w:szCs w:val="24"/>
        </w:rPr>
        <w:t>,</w:t>
      </w:r>
      <w:r w:rsidR="00F057B6">
        <w:rPr>
          <w:rFonts w:ascii="Times New Roman" w:hAnsi="Times New Roman" w:cs="Times New Roman"/>
          <w:bCs/>
          <w:sz w:val="24"/>
          <w:szCs w:val="24"/>
        </w:rPr>
        <w:t xml:space="preserve"> </w:t>
      </w:r>
      <w:r w:rsidR="005D05BD">
        <w:rPr>
          <w:rFonts w:ascii="Times New Roman" w:hAnsi="Times New Roman" w:cs="Times New Roman"/>
          <w:bCs/>
          <w:sz w:val="24"/>
          <w:szCs w:val="24"/>
        </w:rPr>
        <w:t>l</w:t>
      </w:r>
      <w:r w:rsidR="00CD29A1">
        <w:rPr>
          <w:rFonts w:ascii="Times New Roman" w:hAnsi="Times New Roman" w:cs="Times New Roman"/>
          <w:bCs/>
          <w:sz w:val="24"/>
          <w:szCs w:val="24"/>
        </w:rPr>
        <w:t>es aspects tarifaires de l'</w:t>
      </w:r>
      <w:r w:rsidR="005D05BD">
        <w:rPr>
          <w:rFonts w:ascii="Times New Roman" w:hAnsi="Times New Roman" w:cs="Times New Roman"/>
          <w:bCs/>
          <w:sz w:val="24"/>
          <w:szCs w:val="24"/>
        </w:rPr>
        <w:t xml:space="preserve">Accord APE AO </w:t>
      </w:r>
      <w:r w:rsidR="00CD29A1">
        <w:rPr>
          <w:rFonts w:ascii="Times New Roman" w:hAnsi="Times New Roman" w:cs="Times New Roman"/>
          <w:bCs/>
          <w:sz w:val="24"/>
          <w:szCs w:val="24"/>
        </w:rPr>
        <w:t xml:space="preserve">sont </w:t>
      </w:r>
      <w:r w:rsidR="0049489A">
        <w:rPr>
          <w:rFonts w:ascii="Times New Roman" w:hAnsi="Times New Roman" w:cs="Times New Roman"/>
          <w:bCs/>
          <w:sz w:val="24"/>
          <w:szCs w:val="24"/>
        </w:rPr>
        <w:t>très</w:t>
      </w:r>
      <w:r w:rsidR="00CD29A1">
        <w:rPr>
          <w:rFonts w:ascii="Times New Roman" w:hAnsi="Times New Roman" w:cs="Times New Roman"/>
          <w:bCs/>
          <w:sz w:val="24"/>
          <w:szCs w:val="24"/>
        </w:rPr>
        <w:t xml:space="preserve"> inéquitables et </w:t>
      </w:r>
      <w:r w:rsidR="00FA26AC">
        <w:rPr>
          <w:rFonts w:ascii="Times New Roman" w:hAnsi="Times New Roman" w:cs="Times New Roman"/>
          <w:bCs/>
          <w:sz w:val="24"/>
          <w:szCs w:val="24"/>
        </w:rPr>
        <w:t>ne pourraient qu'</w:t>
      </w:r>
      <w:r w:rsidR="00CD29A1">
        <w:rPr>
          <w:rFonts w:ascii="Times New Roman" w:hAnsi="Times New Roman" w:cs="Times New Roman"/>
          <w:bCs/>
          <w:sz w:val="24"/>
          <w:szCs w:val="24"/>
        </w:rPr>
        <w:t xml:space="preserve">enfoncer l'AO dans le sous-développement et la dépendance vis-à-vis de l'UE : </w:t>
      </w:r>
    </w:p>
    <w:p w:rsidR="00CD29A1" w:rsidRDefault="00CD29A1"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l'AO ne pourrait pas augmenter ses droits de douane ni changer le classement des produits dans les 5 bandes de taux;</w:t>
      </w:r>
    </w:p>
    <w:p w:rsidR="005D05BD" w:rsidRDefault="00CD29A1"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l'AO ne pourrait pas devenir membre de l'OMC pour obtenir des droits consolidés lui permettant d'augmenter ses droits appliqués;  </w:t>
      </w:r>
    </w:p>
    <w:p w:rsidR="00CD29A1" w:rsidRDefault="00CD29A1"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l'AO ne pourrait pas augmenter ses taxes à l'exportation</w:t>
      </w:r>
      <w:r w:rsidR="00F91F97">
        <w:rPr>
          <w:rFonts w:ascii="Times New Roman" w:hAnsi="Times New Roman" w:cs="Times New Roman"/>
          <w:bCs/>
          <w:sz w:val="24"/>
          <w:szCs w:val="24"/>
        </w:rPr>
        <w:t xml:space="preserve">, donc </w:t>
      </w:r>
      <w:r>
        <w:rPr>
          <w:rFonts w:ascii="Times New Roman" w:hAnsi="Times New Roman" w:cs="Times New Roman"/>
          <w:bCs/>
          <w:sz w:val="24"/>
          <w:szCs w:val="24"/>
        </w:rPr>
        <w:t>ses recettes budgétaires;</w:t>
      </w:r>
    </w:p>
    <w:p w:rsidR="005D05BD" w:rsidRDefault="00CD29A1"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l'AO ne pourrait pas utiliser des restrictions quantitatives à l'importation alors que l'UE </w:t>
      </w:r>
      <w:r w:rsidR="00FA26AC">
        <w:rPr>
          <w:rFonts w:ascii="Times New Roman" w:hAnsi="Times New Roman" w:cs="Times New Roman"/>
          <w:bCs/>
          <w:sz w:val="24"/>
          <w:szCs w:val="24"/>
        </w:rPr>
        <w:t>en utilise de façon implicite;</w:t>
      </w:r>
      <w:r>
        <w:rPr>
          <w:rFonts w:ascii="Times New Roman" w:hAnsi="Times New Roman" w:cs="Times New Roman"/>
          <w:bCs/>
          <w:sz w:val="24"/>
          <w:szCs w:val="24"/>
        </w:rPr>
        <w:t xml:space="preserve">  </w:t>
      </w:r>
    </w:p>
    <w:p w:rsidR="005D05BD" w:rsidRDefault="00FA26AC" w:rsidP="00DF1F4E">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 l</w:t>
      </w:r>
      <w:r w:rsidR="00BE1B81">
        <w:rPr>
          <w:rFonts w:ascii="Times New Roman" w:hAnsi="Times New Roman" w:cs="Times New Roman"/>
          <w:bCs/>
          <w:sz w:val="24"/>
          <w:szCs w:val="24"/>
        </w:rPr>
        <w:t>e</w:t>
      </w:r>
      <w:r>
        <w:rPr>
          <w:rFonts w:ascii="Times New Roman" w:hAnsi="Times New Roman" w:cs="Times New Roman"/>
          <w:bCs/>
          <w:sz w:val="24"/>
          <w:szCs w:val="24"/>
        </w:rPr>
        <w:t>s m</w:t>
      </w:r>
      <w:r w:rsidRPr="00FA26AC">
        <w:rPr>
          <w:rFonts w:ascii="Times New Roman" w:hAnsi="Times New Roman" w:cs="Times New Roman"/>
          <w:sz w:val="24"/>
          <w:szCs w:val="24"/>
        </w:rPr>
        <w:t>esures de sauvegarde de l'APE sont bien trop faibles</w:t>
      </w:r>
      <w:r w:rsidR="0049489A">
        <w:rPr>
          <w:rFonts w:ascii="Times New Roman" w:hAnsi="Times New Roman" w:cs="Times New Roman"/>
          <w:sz w:val="24"/>
          <w:szCs w:val="24"/>
        </w:rPr>
        <w:t xml:space="preserve"> et</w:t>
      </w:r>
      <w:r w:rsidR="00BE1B81">
        <w:rPr>
          <w:rFonts w:ascii="Times New Roman" w:hAnsi="Times New Roman" w:cs="Times New Roman"/>
          <w:sz w:val="24"/>
          <w:szCs w:val="24"/>
        </w:rPr>
        <w:t xml:space="preserve"> ne permettront pas d'appliquer celles prévues par la CEDEAO. Et comme elles ne sont que temporaires </w:t>
      </w:r>
      <w:r w:rsidRPr="00FA26AC">
        <w:rPr>
          <w:rFonts w:ascii="Times New Roman" w:hAnsi="Times New Roman" w:cs="Times New Roman"/>
          <w:sz w:val="24"/>
          <w:szCs w:val="24"/>
        </w:rPr>
        <w:t>e</w:t>
      </w:r>
      <w:r w:rsidR="00BE1B81">
        <w:rPr>
          <w:rFonts w:ascii="Times New Roman" w:hAnsi="Times New Roman" w:cs="Times New Roman"/>
          <w:sz w:val="24"/>
          <w:szCs w:val="24"/>
        </w:rPr>
        <w:t xml:space="preserve">lles ne pourraient compenser le dumping structurel </w:t>
      </w:r>
      <w:r w:rsidRPr="00FA26AC">
        <w:rPr>
          <w:rFonts w:ascii="Times New Roman" w:hAnsi="Times New Roman" w:cs="Times New Roman"/>
          <w:sz w:val="24"/>
          <w:szCs w:val="24"/>
        </w:rPr>
        <w:t>de l'UE</w:t>
      </w:r>
      <w:r w:rsidR="00EF054F">
        <w:rPr>
          <w:rFonts w:ascii="Times New Roman" w:hAnsi="Times New Roman" w:cs="Times New Roman"/>
          <w:sz w:val="24"/>
          <w:szCs w:val="24"/>
        </w:rPr>
        <w:t>, en particulier sur les céréales (hors riz) qui ne sont pas placées dans la bande D des produits exclus de la libéralisation et pour lesquelles les subventions vers l'AO ont été de 173,8 M€ en 2013.</w:t>
      </w:r>
      <w:r w:rsidR="008514D9">
        <w:rPr>
          <w:rFonts w:ascii="Times New Roman" w:hAnsi="Times New Roman" w:cs="Times New Roman"/>
          <w:sz w:val="24"/>
          <w:szCs w:val="24"/>
        </w:rPr>
        <w:t xml:space="preserve">  De même environ 50% du lait concentré taxé à 5% reste libéralisé</w:t>
      </w:r>
      <w:r w:rsidR="0049489A">
        <w:rPr>
          <w:rFonts w:ascii="Times New Roman" w:hAnsi="Times New Roman" w:cs="Times New Roman"/>
          <w:sz w:val="24"/>
          <w:szCs w:val="24"/>
        </w:rPr>
        <w:t xml:space="preserve"> ce qui correspond à un dumping d'environ 25 M€ vers l'AO en 2013.</w:t>
      </w:r>
      <w:r w:rsidR="008514D9">
        <w:rPr>
          <w:rFonts w:ascii="Times New Roman" w:hAnsi="Times New Roman" w:cs="Times New Roman"/>
          <w:sz w:val="24"/>
          <w:szCs w:val="24"/>
        </w:rPr>
        <w:t xml:space="preserve"> </w:t>
      </w:r>
    </w:p>
    <w:p w:rsidR="00DF4C05" w:rsidRDefault="00DF4C05" w:rsidP="00DF1F4E">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Et les subventions de l'UE à ses exportations nettes de coton (y compris celui inclus dans les filés, tissus, vêtements et linges) vers l'AO sont environ 10 fois supérieures à son programme d'aide au coton de l'AO.  </w:t>
      </w:r>
    </w:p>
    <w:p w:rsidR="0049489A" w:rsidRDefault="0056092D"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les DD de l'UE sur ses produits alimentaires de base sont très supérieurs à ceux de l'AO.</w:t>
      </w:r>
    </w:p>
    <w:p w:rsidR="00DF4C05" w:rsidRDefault="00DF4C05"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p>
    <w:p w:rsidR="00DF4C05" w:rsidRDefault="0049489A"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Ces seuls aspects tarifaires justifient </w:t>
      </w:r>
      <w:r w:rsidR="00DF4C05">
        <w:rPr>
          <w:rFonts w:ascii="Times New Roman" w:hAnsi="Times New Roman" w:cs="Times New Roman"/>
          <w:bCs/>
          <w:sz w:val="24"/>
          <w:szCs w:val="24"/>
        </w:rPr>
        <w:t xml:space="preserve">donc </w:t>
      </w:r>
      <w:r>
        <w:rPr>
          <w:rFonts w:ascii="Times New Roman" w:hAnsi="Times New Roman" w:cs="Times New Roman"/>
          <w:bCs/>
          <w:sz w:val="24"/>
          <w:szCs w:val="24"/>
        </w:rPr>
        <w:t xml:space="preserve">amplement </w:t>
      </w:r>
      <w:r w:rsidR="00836158">
        <w:rPr>
          <w:rFonts w:ascii="Times New Roman" w:hAnsi="Times New Roman" w:cs="Times New Roman"/>
          <w:bCs/>
          <w:sz w:val="24"/>
          <w:szCs w:val="24"/>
        </w:rPr>
        <w:t xml:space="preserve">de ne pas </w:t>
      </w:r>
      <w:r>
        <w:rPr>
          <w:rFonts w:ascii="Times New Roman" w:hAnsi="Times New Roman" w:cs="Times New Roman"/>
          <w:bCs/>
          <w:sz w:val="24"/>
          <w:szCs w:val="24"/>
        </w:rPr>
        <w:t>ratifi</w:t>
      </w:r>
      <w:r w:rsidR="00836158">
        <w:rPr>
          <w:rFonts w:ascii="Times New Roman" w:hAnsi="Times New Roman" w:cs="Times New Roman"/>
          <w:bCs/>
          <w:sz w:val="24"/>
          <w:szCs w:val="24"/>
        </w:rPr>
        <w:t>er</w:t>
      </w:r>
      <w:r>
        <w:rPr>
          <w:rFonts w:ascii="Times New Roman" w:hAnsi="Times New Roman" w:cs="Times New Roman"/>
          <w:bCs/>
          <w:sz w:val="24"/>
          <w:szCs w:val="24"/>
        </w:rPr>
        <w:t xml:space="preserve"> l'APE. </w:t>
      </w:r>
    </w:p>
    <w:p w:rsidR="00DF4C05" w:rsidRDefault="00DF4C05"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p>
    <w:p w:rsidR="00BE1B81" w:rsidRDefault="0049489A"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Mais la CEDEAO doit d'urgence déposer sa candidature à l'OMC, puis transformer ses DD consolidés en prélèvements variables de manière à stabiliser les prix agricoles à un n</w:t>
      </w:r>
      <w:r w:rsidR="00F91F97">
        <w:rPr>
          <w:rFonts w:ascii="Times New Roman" w:hAnsi="Times New Roman" w:cs="Times New Roman"/>
          <w:bCs/>
          <w:sz w:val="24"/>
          <w:szCs w:val="24"/>
        </w:rPr>
        <w:t>iveau rémunérateur pour accroitre la production au même rythme que la population</w:t>
      </w:r>
      <w:r w:rsidR="0056092D">
        <w:rPr>
          <w:rStyle w:val="Appelnotedebasdep"/>
          <w:rFonts w:ascii="Times New Roman" w:hAnsi="Times New Roman" w:cs="Times New Roman"/>
          <w:bCs/>
          <w:sz w:val="24"/>
          <w:szCs w:val="24"/>
        </w:rPr>
        <w:footnoteReference w:id="12"/>
      </w:r>
      <w:r w:rsidR="00F91F97">
        <w:rPr>
          <w:rFonts w:ascii="Times New Roman" w:hAnsi="Times New Roman" w:cs="Times New Roman"/>
          <w:bCs/>
          <w:sz w:val="24"/>
          <w:szCs w:val="24"/>
        </w:rPr>
        <w:t>.</w:t>
      </w:r>
      <w:r>
        <w:rPr>
          <w:rFonts w:ascii="Times New Roman" w:hAnsi="Times New Roman" w:cs="Times New Roman"/>
          <w:bCs/>
          <w:sz w:val="24"/>
          <w:szCs w:val="24"/>
        </w:rPr>
        <w:t xml:space="preserve">   </w:t>
      </w:r>
    </w:p>
    <w:p w:rsidR="0049489A" w:rsidRDefault="0049489A"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p>
    <w:p w:rsidR="00697E2D" w:rsidRDefault="0049489A" w:rsidP="00DF1F4E">
      <w:pPr>
        <w:tabs>
          <w:tab w:val="left" w:pos="142"/>
        </w:tabs>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L</w:t>
      </w:r>
      <w:r w:rsidR="00697E2D">
        <w:rPr>
          <w:rFonts w:ascii="Times New Roman" w:hAnsi="Times New Roman" w:cs="Times New Roman"/>
          <w:bCs/>
          <w:sz w:val="24"/>
          <w:szCs w:val="24"/>
        </w:rPr>
        <w:t>es lecteurs peuvent consulter d'autres analyses antérieures sur les raisons de ne pas ratifier cet APE (</w:t>
      </w:r>
      <w:hyperlink r:id="rId10" w:history="1">
        <w:r w:rsidR="00697E2D" w:rsidRPr="00697E2D">
          <w:rPr>
            <w:rStyle w:val="Lienhypertexte"/>
            <w:rFonts w:ascii="Times New Roman" w:hAnsi="Times New Roman" w:cs="Times New Roman"/>
            <w:color w:val="auto"/>
            <w:sz w:val="24"/>
            <w:szCs w:val="24"/>
            <w:u w:val="none"/>
          </w:rPr>
          <w:t>http://www.solidarite.asso.fr/Articles-de-2014,684</w:t>
        </w:r>
      </w:hyperlink>
      <w:r w:rsidR="00697E2D">
        <w:rPr>
          <w:rFonts w:ascii="Times New Roman" w:hAnsi="Times New Roman" w:cs="Times New Roman"/>
          <w:bCs/>
          <w:sz w:val="24"/>
          <w:szCs w:val="24"/>
        </w:rPr>
        <w:t>) :</w:t>
      </w:r>
    </w:p>
    <w:p w:rsidR="00697E2D" w:rsidRDefault="00697E2D" w:rsidP="00697E2D">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 </w:t>
      </w:r>
      <w:r w:rsidRPr="00697E2D">
        <w:rPr>
          <w:rFonts w:ascii="Times New Roman" w:eastAsia="Times New Roman" w:hAnsi="Times New Roman" w:cs="Times New Roman"/>
          <w:sz w:val="24"/>
          <w:szCs w:val="24"/>
          <w:lang w:eastAsia="fr-FR"/>
        </w:rPr>
        <w:t>La Commission européenne ment en affirmant que les APE renforceraient</w:t>
      </w:r>
      <w:r>
        <w:rPr>
          <w:rFonts w:ascii="Times New Roman" w:eastAsia="Times New Roman" w:hAnsi="Times New Roman" w:cs="Times New Roman"/>
          <w:sz w:val="24"/>
          <w:szCs w:val="24"/>
          <w:lang w:eastAsia="fr-FR"/>
        </w:rPr>
        <w:t xml:space="preserve"> </w:t>
      </w:r>
      <w:r w:rsidRPr="00697E2D">
        <w:rPr>
          <w:rFonts w:ascii="Times New Roman" w:eastAsia="Times New Roman" w:hAnsi="Times New Roman" w:cs="Times New Roman"/>
          <w:sz w:val="24"/>
          <w:szCs w:val="24"/>
          <w:lang w:eastAsia="fr-FR"/>
        </w:rPr>
        <w:t>la compétitivité des pays ACP ayant signé des APE régionaux</w:t>
      </w:r>
      <w:r w:rsidRPr="00236B7C">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8</w:t>
      </w:r>
      <w:r w:rsidRPr="00236B7C">
        <w:rPr>
          <w:rFonts w:ascii="Times New Roman" w:eastAsia="Times New Roman" w:hAnsi="Times New Roman" w:cs="Times New Roman"/>
          <w:lang w:eastAsia="fr-FR"/>
        </w:rPr>
        <w:t xml:space="preserve"> septembre 2014</w:t>
      </w:r>
    </w:p>
    <w:p w:rsidR="00697E2D" w:rsidRPr="00AC059F" w:rsidRDefault="00697E2D" w:rsidP="00697E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E2D">
        <w:rPr>
          <w:rFonts w:ascii="Times New Roman" w:hAnsi="Times New Roman" w:cs="Times New Roman"/>
          <w:sz w:val="24"/>
          <w:szCs w:val="24"/>
        </w:rPr>
        <w:t>Pertes de recettes douanières liées à l'APE Afrique de l'Ouest</w:t>
      </w:r>
      <w:r>
        <w:rPr>
          <w:rFonts w:ascii="Times New Roman" w:hAnsi="Times New Roman" w:cs="Times New Roman"/>
          <w:sz w:val="24"/>
          <w:szCs w:val="24"/>
        </w:rPr>
        <w:t>, le 7</w:t>
      </w:r>
      <w:r w:rsidRPr="00AC059F">
        <w:rPr>
          <w:rFonts w:ascii="Times New Roman" w:hAnsi="Times New Roman" w:cs="Times New Roman"/>
          <w:sz w:val="24"/>
          <w:szCs w:val="24"/>
        </w:rPr>
        <w:t xml:space="preserve"> septembre 2014</w:t>
      </w:r>
    </w:p>
    <w:p w:rsidR="00697E2D" w:rsidRDefault="00697E2D" w:rsidP="00DF1F4E">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97E2D">
        <w:rPr>
          <w:rFonts w:ascii="Times New Roman" w:hAnsi="Times New Roman" w:cs="Times New Roman"/>
          <w:sz w:val="24"/>
          <w:szCs w:val="24"/>
        </w:rPr>
        <w:t>Droits de douane du SPG sur les exportations de la Côte d'Ivoire, du Ghana et du Nigéria vers l'UE si l'APE régional n'est pas ratifié, 16 août 2014</w:t>
      </w:r>
    </w:p>
    <w:p w:rsidR="00697E2D" w:rsidRPr="003B3E8E" w:rsidRDefault="00697E2D" w:rsidP="00697E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E2D">
        <w:rPr>
          <w:rFonts w:ascii="Times New Roman" w:hAnsi="Times New Roman" w:cs="Times New Roman"/>
          <w:sz w:val="24"/>
          <w:szCs w:val="24"/>
        </w:rPr>
        <w:t>Pourquoi la CEDEAO ne doit pas signer l'APE</w:t>
      </w:r>
      <w:r>
        <w:rPr>
          <w:rFonts w:ascii="Times New Roman" w:hAnsi="Times New Roman" w:cs="Times New Roman"/>
          <w:sz w:val="24"/>
          <w:szCs w:val="24"/>
        </w:rPr>
        <w:t>, le 12 juillet</w:t>
      </w:r>
      <w:r w:rsidRPr="003B3E8E">
        <w:rPr>
          <w:rFonts w:ascii="Times New Roman" w:hAnsi="Times New Roman" w:cs="Times New Roman"/>
          <w:sz w:val="24"/>
          <w:szCs w:val="24"/>
        </w:rPr>
        <w:t xml:space="preserve"> 2014</w:t>
      </w:r>
    </w:p>
    <w:p w:rsidR="00FA4122" w:rsidRDefault="00697E2D" w:rsidP="00DF1F4E">
      <w:pPr>
        <w:tabs>
          <w:tab w:val="left" w:pos="142"/>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r w:rsidRPr="00697E2D">
        <w:rPr>
          <w:rFonts w:ascii="Times New Roman" w:hAnsi="Times New Roman" w:cs="Times New Roman"/>
          <w:sz w:val="24"/>
          <w:szCs w:val="24"/>
        </w:rPr>
        <w:t xml:space="preserve">Les subventions de l'UE28 en 2013 aux exportations de céréales, viandes </w:t>
      </w:r>
      <w:r w:rsidRPr="00697E2D">
        <w:rPr>
          <w:rFonts w:ascii="Times New Roman" w:hAnsi="Times New Roman"/>
          <w:sz w:val="24"/>
          <w:szCs w:val="24"/>
        </w:rPr>
        <w:t>et produits laitiers extra-EU28, vers les pays ACP et l'Afrique de l'Ouest, 9 juillet 2014</w:t>
      </w:r>
    </w:p>
    <w:p w:rsidR="00E63A48" w:rsidRDefault="00E63A48" w:rsidP="00DF1F4E">
      <w:pPr>
        <w:tabs>
          <w:tab w:val="left" w:pos="142"/>
        </w:tabs>
        <w:autoSpaceDE w:val="0"/>
        <w:autoSpaceDN w:val="0"/>
        <w:adjustRightInd w:val="0"/>
        <w:spacing w:after="0" w:line="240" w:lineRule="auto"/>
        <w:contextualSpacing/>
        <w:jc w:val="both"/>
        <w:rPr>
          <w:rFonts w:ascii="Times New Roman" w:hAnsi="Times New Roman"/>
          <w:sz w:val="24"/>
          <w:szCs w:val="24"/>
        </w:rPr>
      </w:pPr>
    </w:p>
    <w:p w:rsidR="00FA4122" w:rsidRDefault="00FA4122" w:rsidP="00DF1F4E">
      <w:pPr>
        <w:tabs>
          <w:tab w:val="left" w:pos="142"/>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Ces textes sont également disponibles en anglais : </w:t>
      </w:r>
      <w:r w:rsidRPr="00FA4122">
        <w:rPr>
          <w:rFonts w:ascii="Times New Roman" w:hAnsi="Times New Roman"/>
          <w:sz w:val="24"/>
          <w:szCs w:val="24"/>
        </w:rPr>
        <w:t>http://www.solidarite.asso.fr/Papers-2014</w:t>
      </w:r>
      <w:r>
        <w:rPr>
          <w:rFonts w:ascii="Times New Roman" w:hAnsi="Times New Roman"/>
          <w:sz w:val="24"/>
          <w:szCs w:val="24"/>
        </w:rPr>
        <w:t xml:space="preserve"> </w:t>
      </w:r>
    </w:p>
    <w:p w:rsidR="00F91F97" w:rsidRDefault="00F91F97" w:rsidP="00DF1F4E">
      <w:pPr>
        <w:tabs>
          <w:tab w:val="left" w:pos="142"/>
        </w:tabs>
        <w:autoSpaceDE w:val="0"/>
        <w:autoSpaceDN w:val="0"/>
        <w:adjustRightInd w:val="0"/>
        <w:spacing w:after="0" w:line="240" w:lineRule="auto"/>
        <w:contextualSpacing/>
        <w:jc w:val="both"/>
        <w:rPr>
          <w:rFonts w:ascii="Times New Roman" w:hAnsi="Times New Roman"/>
          <w:sz w:val="24"/>
          <w:szCs w:val="24"/>
        </w:rPr>
      </w:pPr>
    </w:p>
    <w:p w:rsidR="003C3AE9" w:rsidRDefault="00FA4122" w:rsidP="00DF1F4E">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Enfin les lecteurs sont invités à signer l'</w:t>
      </w:r>
      <w:r w:rsidR="005743B7">
        <w:rPr>
          <w:rFonts w:ascii="Times New Roman" w:hAnsi="Times New Roman"/>
          <w:sz w:val="24"/>
          <w:szCs w:val="24"/>
        </w:rPr>
        <w:t>A</w:t>
      </w:r>
      <w:r>
        <w:rPr>
          <w:rFonts w:ascii="Times New Roman" w:hAnsi="Times New Roman"/>
          <w:sz w:val="24"/>
          <w:szCs w:val="24"/>
        </w:rPr>
        <w:t>ppel contr</w:t>
      </w:r>
      <w:r w:rsidR="00191F71">
        <w:rPr>
          <w:rFonts w:ascii="Times New Roman" w:hAnsi="Times New Roman"/>
          <w:sz w:val="24"/>
          <w:szCs w:val="24"/>
        </w:rPr>
        <w:t>e</w:t>
      </w:r>
      <w:r>
        <w:rPr>
          <w:rFonts w:ascii="Times New Roman" w:hAnsi="Times New Roman"/>
          <w:sz w:val="24"/>
          <w:szCs w:val="24"/>
        </w:rPr>
        <w:t xml:space="preserve"> la ratification de l'APE</w:t>
      </w:r>
      <w:r w:rsidR="004B0EE7">
        <w:rPr>
          <w:rFonts w:ascii="Times New Roman" w:hAnsi="Times New Roman"/>
          <w:sz w:val="24"/>
          <w:szCs w:val="24"/>
        </w:rPr>
        <w:t xml:space="preserve"> (même adresse)</w:t>
      </w:r>
      <w:r>
        <w:rPr>
          <w:rFonts w:ascii="Times New Roman" w:hAnsi="Times New Roman"/>
          <w:sz w:val="24"/>
          <w:szCs w:val="24"/>
        </w:rPr>
        <w:t xml:space="preserve">, appel qui sera bientôt porté par une coordination des sociétés civiles de l'UE et d'Afrique subsaharienne. En attendant les signatures </w:t>
      </w:r>
      <w:r w:rsidR="004B0EE7">
        <w:rPr>
          <w:rFonts w:ascii="Times New Roman" w:hAnsi="Times New Roman"/>
          <w:sz w:val="24"/>
          <w:szCs w:val="24"/>
        </w:rPr>
        <w:t xml:space="preserve">sont à </w:t>
      </w:r>
      <w:r>
        <w:rPr>
          <w:rFonts w:ascii="Times New Roman" w:hAnsi="Times New Roman"/>
          <w:sz w:val="24"/>
          <w:szCs w:val="24"/>
        </w:rPr>
        <w:t>adress</w:t>
      </w:r>
      <w:r w:rsidR="004B0EE7">
        <w:rPr>
          <w:rFonts w:ascii="Times New Roman" w:hAnsi="Times New Roman"/>
          <w:sz w:val="24"/>
          <w:szCs w:val="24"/>
        </w:rPr>
        <w:t>er</w:t>
      </w:r>
      <w:r>
        <w:rPr>
          <w:rFonts w:ascii="Times New Roman" w:hAnsi="Times New Roman"/>
          <w:sz w:val="24"/>
          <w:szCs w:val="24"/>
        </w:rPr>
        <w:t xml:space="preserve"> à Jean Gadrey (</w:t>
      </w:r>
      <w:hyperlink r:id="rId11" w:history="1">
        <w:r w:rsidRPr="00FA4122">
          <w:rPr>
            <w:rStyle w:val="Lienhypertexte"/>
            <w:rFonts w:ascii="Times New Roman" w:hAnsi="Times New Roman"/>
            <w:color w:val="auto"/>
            <w:sz w:val="24"/>
            <w:szCs w:val="24"/>
            <w:u w:val="none"/>
          </w:rPr>
          <w:t>jean.gadrey@univ-lille1.fr</w:t>
        </w:r>
      </w:hyperlink>
      <w:r>
        <w:rPr>
          <w:rFonts w:ascii="Times New Roman" w:hAnsi="Times New Roman"/>
          <w:sz w:val="24"/>
          <w:szCs w:val="24"/>
        </w:rPr>
        <w:t xml:space="preserve">) qui tient </w:t>
      </w:r>
      <w:r w:rsidR="004B0EE7">
        <w:rPr>
          <w:rFonts w:ascii="Times New Roman" w:hAnsi="Times New Roman"/>
          <w:sz w:val="24"/>
          <w:szCs w:val="24"/>
        </w:rPr>
        <w:t xml:space="preserve">à jour </w:t>
      </w:r>
      <w:r>
        <w:rPr>
          <w:rFonts w:ascii="Times New Roman" w:hAnsi="Times New Roman"/>
          <w:sz w:val="24"/>
          <w:szCs w:val="24"/>
        </w:rPr>
        <w:t xml:space="preserve">la liste des signatures. </w:t>
      </w:r>
      <w:r w:rsidR="00697E2D" w:rsidRPr="00697E2D">
        <w:rPr>
          <w:rFonts w:ascii="Times New Roman" w:hAnsi="Times New Roman" w:cs="Times New Roman"/>
          <w:sz w:val="24"/>
          <w:szCs w:val="24"/>
        </w:rPr>
        <w:t xml:space="preserve"> </w:t>
      </w:r>
    </w:p>
    <w:sectPr w:rsidR="003C3AE9" w:rsidSect="005743B7">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AE" w:rsidRDefault="00E52CAE" w:rsidP="00532ED4">
      <w:pPr>
        <w:spacing w:after="0" w:line="240" w:lineRule="auto"/>
      </w:pPr>
      <w:r>
        <w:separator/>
      </w:r>
    </w:p>
  </w:endnote>
  <w:endnote w:type="continuationSeparator" w:id="0">
    <w:p w:rsidR="00E52CAE" w:rsidRDefault="00E52CAE" w:rsidP="0053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19290"/>
      <w:docPartObj>
        <w:docPartGallery w:val="Page Numbers (Bottom of Page)"/>
        <w:docPartUnique/>
      </w:docPartObj>
    </w:sdtPr>
    <w:sdtEndPr/>
    <w:sdtContent>
      <w:p w:rsidR="00F608E6" w:rsidRDefault="00F608E6">
        <w:pPr>
          <w:pStyle w:val="Pieddepage"/>
          <w:jc w:val="right"/>
        </w:pPr>
        <w:r>
          <w:fldChar w:fldCharType="begin"/>
        </w:r>
        <w:r>
          <w:instrText>PAGE   \* MERGEFORMAT</w:instrText>
        </w:r>
        <w:r>
          <w:fldChar w:fldCharType="separate"/>
        </w:r>
        <w:r w:rsidR="003B2B90">
          <w:rPr>
            <w:noProof/>
          </w:rPr>
          <w:t>4</w:t>
        </w:r>
        <w:r>
          <w:fldChar w:fldCharType="end"/>
        </w:r>
      </w:p>
    </w:sdtContent>
  </w:sdt>
  <w:p w:rsidR="00F608E6" w:rsidRDefault="00F608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AE" w:rsidRDefault="00E52CAE" w:rsidP="00532ED4">
      <w:pPr>
        <w:spacing w:after="0" w:line="240" w:lineRule="auto"/>
      </w:pPr>
      <w:r>
        <w:separator/>
      </w:r>
    </w:p>
  </w:footnote>
  <w:footnote w:type="continuationSeparator" w:id="0">
    <w:p w:rsidR="00E52CAE" w:rsidRDefault="00E52CAE" w:rsidP="00532ED4">
      <w:pPr>
        <w:spacing w:after="0" w:line="240" w:lineRule="auto"/>
      </w:pPr>
      <w:r>
        <w:continuationSeparator/>
      </w:r>
    </w:p>
  </w:footnote>
  <w:footnote w:id="1">
    <w:p w:rsidR="00F608E6" w:rsidRPr="005F2731" w:rsidRDefault="00F608E6">
      <w:pPr>
        <w:pStyle w:val="Notedebasdepage"/>
        <w:rPr>
          <w:rFonts w:ascii="Times New Roman" w:hAnsi="Times New Roman" w:cs="Times New Roman"/>
        </w:rPr>
      </w:pPr>
      <w:r w:rsidRPr="005F2731">
        <w:rPr>
          <w:rStyle w:val="Appelnotedebasdep"/>
          <w:rFonts w:ascii="Times New Roman" w:hAnsi="Times New Roman" w:cs="Times New Roman"/>
        </w:rPr>
        <w:footnoteRef/>
      </w:r>
      <w:r w:rsidRPr="005F2731">
        <w:rPr>
          <w:rFonts w:ascii="Times New Roman" w:hAnsi="Times New Roman" w:cs="Times New Roman"/>
        </w:rPr>
        <w:t xml:space="preserve"> L'APE Afrique de l'Ouest regroupe les 15 Etats de la CEDEAO plus la Mauritanie.  </w:t>
      </w:r>
    </w:p>
  </w:footnote>
  <w:footnote w:id="2">
    <w:p w:rsidR="00F608E6" w:rsidRPr="006D7EE1" w:rsidRDefault="00F608E6" w:rsidP="005D05BD">
      <w:pPr>
        <w:pStyle w:val="Notedebasdepage"/>
        <w:rPr>
          <w:rFonts w:ascii="Times New Roman" w:hAnsi="Times New Roman" w:cs="Times New Roman"/>
        </w:rPr>
      </w:pPr>
      <w:r w:rsidRPr="006D7EE1">
        <w:rPr>
          <w:rStyle w:val="Appelnotedebasdep"/>
          <w:rFonts w:ascii="Times New Roman" w:hAnsi="Times New Roman" w:cs="Times New Roman"/>
        </w:rPr>
        <w:footnoteRef/>
      </w:r>
      <w:r w:rsidRPr="006D7EE1">
        <w:rPr>
          <w:rFonts w:ascii="Times New Roman" w:hAnsi="Times New Roman" w:cs="Times New Roman"/>
        </w:rPr>
        <w:t xml:space="preserve"> Pays ACP : pays d'Afrique-Caraïbes-Pacifique </w:t>
      </w:r>
      <w:r>
        <w:rPr>
          <w:rFonts w:ascii="Times New Roman" w:hAnsi="Times New Roman" w:cs="Times New Roman"/>
        </w:rPr>
        <w:t xml:space="preserve">négociant des </w:t>
      </w:r>
      <w:r w:rsidRPr="006D7EE1">
        <w:rPr>
          <w:rFonts w:ascii="Times New Roman" w:hAnsi="Times New Roman" w:cs="Times New Roman"/>
        </w:rPr>
        <w:t>APE</w:t>
      </w:r>
      <w:r>
        <w:rPr>
          <w:rFonts w:ascii="Times New Roman" w:hAnsi="Times New Roman" w:cs="Times New Roman"/>
        </w:rPr>
        <w:t>.</w:t>
      </w:r>
      <w:r w:rsidRPr="006D7EE1">
        <w:rPr>
          <w:rFonts w:ascii="Times New Roman" w:hAnsi="Times New Roman" w:cs="Times New Roman"/>
        </w:rPr>
        <w:t xml:space="preserve"> </w:t>
      </w:r>
    </w:p>
  </w:footnote>
  <w:footnote w:id="3">
    <w:p w:rsidR="00F608E6" w:rsidRPr="00E63A48" w:rsidRDefault="00F608E6" w:rsidP="004210DE">
      <w:pPr>
        <w:spacing w:after="0" w:line="240" w:lineRule="auto"/>
        <w:textAlignment w:val="baseline"/>
        <w:rPr>
          <w:rFonts w:ascii="Times New Roman" w:hAnsi="Times New Roman" w:cs="Times New Roman"/>
          <w:sz w:val="18"/>
          <w:szCs w:val="18"/>
        </w:rPr>
      </w:pPr>
      <w:r w:rsidRPr="00E63A48">
        <w:rPr>
          <w:rStyle w:val="Appelnotedebasdep"/>
          <w:rFonts w:ascii="Times New Roman" w:hAnsi="Times New Roman" w:cs="Times New Roman"/>
          <w:sz w:val="18"/>
          <w:szCs w:val="18"/>
        </w:rPr>
        <w:footnoteRef/>
      </w:r>
      <w:r w:rsidRPr="00E63A48">
        <w:rPr>
          <w:rFonts w:ascii="Times New Roman" w:hAnsi="Times New Roman" w:cs="Times New Roman"/>
          <w:sz w:val="18"/>
          <w:szCs w:val="18"/>
        </w:rPr>
        <w:t xml:space="preserve"> </w:t>
      </w:r>
      <w:r w:rsidRPr="00E63A48">
        <w:rPr>
          <w:rFonts w:ascii="Times New Roman" w:eastAsia="Times New Roman" w:hAnsi="Times New Roman" w:cs="Times New Roman"/>
          <w:spacing w:val="-2"/>
          <w:sz w:val="18"/>
          <w:szCs w:val="18"/>
        </w:rPr>
        <w:t>http://www.parlementairemonitor.nl/9353000/1/j4nvgs5kjg27kof_j9vvij5epmj1ey0/vjg0k5ved1vs/f=/blg274173.pdf</w:t>
      </w:r>
    </w:p>
  </w:footnote>
  <w:footnote w:id="4">
    <w:p w:rsidR="00F608E6" w:rsidRPr="004210DE" w:rsidRDefault="00F608E6" w:rsidP="004210DE">
      <w:pPr>
        <w:spacing w:after="0" w:line="240" w:lineRule="auto"/>
        <w:jc w:val="both"/>
        <w:rPr>
          <w:rFonts w:ascii="Times New Roman" w:hAnsi="Times New Roman" w:cs="Times New Roman"/>
          <w:sz w:val="20"/>
          <w:szCs w:val="20"/>
        </w:rPr>
      </w:pPr>
      <w:r w:rsidRPr="004210DE">
        <w:rPr>
          <w:rStyle w:val="Appelnotedebasdep"/>
          <w:rFonts w:ascii="Times New Roman" w:hAnsi="Times New Roman" w:cs="Times New Roman"/>
          <w:sz w:val="20"/>
          <w:szCs w:val="20"/>
        </w:rPr>
        <w:footnoteRef/>
      </w:r>
      <w:r w:rsidRPr="004210DE">
        <w:rPr>
          <w:rFonts w:ascii="Times New Roman" w:hAnsi="Times New Roman" w:cs="Times New Roman"/>
          <w:sz w:val="20"/>
          <w:szCs w:val="20"/>
        </w:rPr>
        <w:t xml:space="preserve"> </w:t>
      </w:r>
      <w:r w:rsidRPr="004210DE">
        <w:rPr>
          <w:rFonts w:ascii="Times New Roman" w:hAnsi="Times New Roman" w:cs="Times New Roman"/>
          <w:i/>
          <w:sz w:val="20"/>
          <w:szCs w:val="20"/>
        </w:rPr>
        <w:t>Pertes de recettes douanières liées à l'APE Afrique de l'Ouest</w:t>
      </w:r>
      <w:r>
        <w:rPr>
          <w:rFonts w:ascii="Times New Roman" w:hAnsi="Times New Roman" w:cs="Times New Roman"/>
          <w:sz w:val="20"/>
          <w:szCs w:val="20"/>
        </w:rPr>
        <w:t xml:space="preserve">, Solidarité, 7 septembre 2014, </w:t>
      </w:r>
      <w:r w:rsidRPr="004210DE">
        <w:rPr>
          <w:rFonts w:ascii="Times New Roman" w:hAnsi="Times New Roman" w:cs="Times New Roman"/>
          <w:sz w:val="20"/>
          <w:szCs w:val="20"/>
        </w:rPr>
        <w:t>http://www.solidarite.asso.fr/Articles-de-2014,684</w:t>
      </w:r>
    </w:p>
    <w:p w:rsidR="00F608E6" w:rsidRPr="004210DE" w:rsidRDefault="00F608E6" w:rsidP="004210DE">
      <w:pPr>
        <w:pStyle w:val="Notedebasdepage"/>
        <w:jc w:val="both"/>
        <w:rPr>
          <w:rFonts w:ascii="Times New Roman" w:hAnsi="Times New Roman" w:cs="Times New Roman"/>
        </w:rPr>
      </w:pPr>
    </w:p>
  </w:footnote>
  <w:footnote w:id="5">
    <w:p w:rsidR="00F608E6" w:rsidRDefault="00F608E6" w:rsidP="00B51C88">
      <w:pPr>
        <w:autoSpaceDE w:val="0"/>
        <w:autoSpaceDN w:val="0"/>
        <w:adjustRightInd w:val="0"/>
        <w:spacing w:after="0" w:line="240" w:lineRule="auto"/>
        <w:jc w:val="both"/>
        <w:rPr>
          <w:rFonts w:ascii="Times New Roman" w:hAnsi="Times New Roman" w:cs="Times New Roman"/>
          <w:bCs/>
          <w:sz w:val="20"/>
          <w:szCs w:val="20"/>
          <w:lang w:val="en-GB"/>
        </w:rPr>
      </w:pPr>
      <w:r>
        <w:rPr>
          <w:rStyle w:val="Appelnotedebasdep"/>
          <w:rFonts w:ascii="Times New Roman" w:hAnsi="Times New Roman" w:cs="Times New Roman"/>
          <w:sz w:val="20"/>
          <w:szCs w:val="20"/>
        </w:rPr>
        <w:footnoteRef/>
      </w:r>
      <w:r>
        <w:rPr>
          <w:rFonts w:ascii="Times New Roman" w:hAnsi="Times New Roman" w:cs="Times New Roman"/>
          <w:sz w:val="20"/>
          <w:szCs w:val="20"/>
          <w:lang w:val="en-GB"/>
        </w:rPr>
        <w:t xml:space="preserve"> Jacques Gallezot, </w:t>
      </w:r>
      <w:r>
        <w:rPr>
          <w:rFonts w:ascii="Times New Roman" w:hAnsi="Times New Roman" w:cs="Times New Roman"/>
          <w:i/>
          <w:sz w:val="20"/>
          <w:szCs w:val="20"/>
          <w:lang w:val="en-GB"/>
        </w:rPr>
        <w:t>Database on European Agricultural Tariffs DBTAR</w:t>
      </w:r>
      <w:r>
        <w:rPr>
          <w:rFonts w:ascii="Times New Roman" w:hAnsi="Times New Roman" w:cs="Times New Roman"/>
          <w:sz w:val="20"/>
          <w:szCs w:val="20"/>
          <w:lang w:val="en-GB"/>
        </w:rPr>
        <w:t xml:space="preserve">, EU Commission, TRADEAG, Working Paper 05/07. Also in French: </w:t>
      </w:r>
      <w:hyperlink r:id="rId1" w:history="1">
        <w:r w:rsidRPr="00E63A48">
          <w:rPr>
            <w:rStyle w:val="Lienhypertexte"/>
            <w:rFonts w:ascii="Times New Roman" w:hAnsi="Times New Roman" w:cs="Times New Roman"/>
            <w:color w:val="auto"/>
            <w:sz w:val="20"/>
            <w:szCs w:val="20"/>
            <w:u w:val="none"/>
            <w:lang w:val="en-GB"/>
          </w:rPr>
          <w:t>http://eumed-agpol.iamm.fr/html/publications/prj_report/d13_rapport1_french.pdf</w:t>
        </w:r>
      </w:hyperlink>
      <w:r>
        <w:rPr>
          <w:rFonts w:ascii="Times New Roman" w:hAnsi="Times New Roman" w:cs="Times New Roman"/>
          <w:sz w:val="20"/>
          <w:szCs w:val="20"/>
          <w:lang w:val="en-GB"/>
        </w:rPr>
        <w:t xml:space="preserve">; N. Hag Elamin, </w:t>
      </w:r>
      <w:r>
        <w:rPr>
          <w:rFonts w:ascii="Times New Roman" w:hAnsi="Times New Roman" w:cs="Times New Roman"/>
          <w:i/>
          <w:iCs/>
          <w:sz w:val="20"/>
          <w:szCs w:val="20"/>
          <w:lang w:val="en-GB"/>
        </w:rPr>
        <w:t xml:space="preserve">Multilateral trade negotiations on agriculture. Agreement on Agriculture. A resource manual. </w:t>
      </w:r>
      <w:r>
        <w:rPr>
          <w:rFonts w:ascii="Times New Roman" w:hAnsi="Times New Roman" w:cs="Times New Roman"/>
          <w:i/>
          <w:iCs/>
          <w:kern w:val="36"/>
          <w:sz w:val="20"/>
          <w:szCs w:val="20"/>
          <w:lang w:val="en-GB"/>
        </w:rPr>
        <w:t>Market Access I: Tariffs and Other Access Terms</w:t>
      </w:r>
      <w:r>
        <w:rPr>
          <w:rFonts w:ascii="Times New Roman" w:hAnsi="Times New Roman" w:cs="Times New Roman"/>
          <w:kern w:val="36"/>
          <w:sz w:val="20"/>
          <w:szCs w:val="20"/>
          <w:lang w:val="en-GB"/>
        </w:rPr>
        <w:t>, FAO, 2000.</w:t>
      </w:r>
    </w:p>
  </w:footnote>
  <w:footnote w:id="6">
    <w:p w:rsidR="00F608E6" w:rsidRPr="006D7EE1" w:rsidRDefault="00F608E6" w:rsidP="006D7EE1">
      <w:pPr>
        <w:pStyle w:val="Notedebasdepage"/>
        <w:rPr>
          <w:rFonts w:ascii="Times New Roman" w:hAnsi="Times New Roman" w:cs="Times New Roman"/>
        </w:rPr>
      </w:pPr>
      <w:r w:rsidRPr="006D7EE1">
        <w:rPr>
          <w:rStyle w:val="Appelnotedebasdep"/>
          <w:rFonts w:ascii="Times New Roman" w:hAnsi="Times New Roman" w:cs="Times New Roman"/>
        </w:rPr>
        <w:footnoteRef/>
      </w:r>
      <w:r w:rsidRPr="006D7EE1">
        <w:rPr>
          <w:rFonts w:ascii="Times New Roman" w:hAnsi="Times New Roman" w:cs="Times New Roman"/>
        </w:rPr>
        <w:t xml:space="preserve"> https://docs.wto.org/dol2fe/Pages/FE_Search/FE_S_S009-DP.aspx?language=E&amp;CatalogueIdList=46549&amp;CurrentCatalogueIdIndex=0&amp;FullTextSearch=</w:t>
      </w:r>
    </w:p>
  </w:footnote>
  <w:footnote w:id="7">
    <w:p w:rsidR="00F608E6" w:rsidRDefault="00F608E6" w:rsidP="00BB43B0">
      <w:pPr>
        <w:spacing w:after="0" w:line="240" w:lineRule="auto"/>
        <w:ind w:left="1656" w:hanging="1656"/>
        <w:textAlignment w:val="baseline"/>
      </w:pPr>
      <w:r w:rsidRPr="00BB43B0">
        <w:rPr>
          <w:rStyle w:val="Appelnotedebasdep"/>
          <w:rFonts w:ascii="Times New Roman" w:hAnsi="Times New Roman" w:cs="Times New Roman"/>
          <w:sz w:val="20"/>
          <w:szCs w:val="20"/>
        </w:rPr>
        <w:footnoteRef/>
      </w:r>
      <w:r w:rsidRPr="00BB43B0">
        <w:rPr>
          <w:rFonts w:ascii="Times New Roman" w:hAnsi="Times New Roman" w:cs="Times New Roman"/>
          <w:sz w:val="20"/>
          <w:szCs w:val="20"/>
        </w:rPr>
        <w:t xml:space="preserve"> </w:t>
      </w:r>
      <w:r w:rsidRPr="00BB43B0">
        <w:rPr>
          <w:rFonts w:ascii="Times New Roman" w:eastAsia="Garamond" w:hAnsi="Times New Roman" w:cs="Times New Roman"/>
          <w:sz w:val="20"/>
          <w:szCs w:val="20"/>
        </w:rPr>
        <w:t>http://hubrural.org/IMG/pdf/EtudesurFINALUEMOATEC.pdf</w:t>
      </w:r>
    </w:p>
  </w:footnote>
  <w:footnote w:id="8">
    <w:p w:rsidR="00F608E6" w:rsidRPr="00BB43B0" w:rsidRDefault="00F608E6" w:rsidP="00BB43B0">
      <w:pPr>
        <w:spacing w:after="0" w:line="240" w:lineRule="auto"/>
        <w:jc w:val="both"/>
        <w:rPr>
          <w:rFonts w:ascii="Times New Roman" w:hAnsi="Times New Roman" w:cs="Times New Roman"/>
          <w:bCs/>
          <w:sz w:val="20"/>
          <w:szCs w:val="20"/>
        </w:rPr>
      </w:pPr>
      <w:r w:rsidRPr="00BB43B0">
        <w:rPr>
          <w:rStyle w:val="Appelnotedebasdep"/>
          <w:rFonts w:ascii="Times New Roman" w:hAnsi="Times New Roman" w:cs="Times New Roman"/>
          <w:sz w:val="20"/>
          <w:szCs w:val="20"/>
        </w:rPr>
        <w:footnoteRef/>
      </w:r>
      <w:r w:rsidRPr="00BB43B0">
        <w:rPr>
          <w:rFonts w:ascii="Times New Roman" w:hAnsi="Times New Roman" w:cs="Times New Roman"/>
          <w:sz w:val="20"/>
          <w:szCs w:val="20"/>
        </w:rPr>
        <w:t xml:space="preserve"> </w:t>
      </w:r>
      <w:r w:rsidRPr="00BB43B0">
        <w:rPr>
          <w:rFonts w:ascii="Times New Roman" w:hAnsi="Times New Roman" w:cs="Times New Roman"/>
          <w:bCs/>
          <w:sz w:val="20"/>
          <w:szCs w:val="20"/>
        </w:rPr>
        <w:t>http://www.ictsd.org/bridges-news/passerelles/news/les-mesures-de-protection-n%C3%A9cessaires-pour-le-d%C3%A9veloppement-du-secteur</w:t>
      </w:r>
    </w:p>
    <w:p w:rsidR="00F608E6" w:rsidRDefault="00F608E6">
      <w:pPr>
        <w:pStyle w:val="Notedebasdepage"/>
      </w:pPr>
    </w:p>
  </w:footnote>
  <w:footnote w:id="9">
    <w:p w:rsidR="00F608E6" w:rsidRPr="008E008F" w:rsidRDefault="00F608E6" w:rsidP="008E008F">
      <w:pPr>
        <w:spacing w:after="0" w:line="240" w:lineRule="auto"/>
        <w:jc w:val="both"/>
        <w:rPr>
          <w:rFonts w:ascii="Times New Roman" w:hAnsi="Times New Roman" w:cs="Times New Roman"/>
          <w:sz w:val="20"/>
          <w:szCs w:val="20"/>
        </w:rPr>
      </w:pPr>
      <w:r w:rsidRPr="008E008F">
        <w:rPr>
          <w:rStyle w:val="Appelnotedebasdep"/>
          <w:rFonts w:ascii="Times New Roman" w:hAnsi="Times New Roman" w:cs="Times New Roman"/>
          <w:sz w:val="20"/>
          <w:szCs w:val="20"/>
        </w:rPr>
        <w:footnoteRef/>
      </w:r>
      <w:r w:rsidRPr="008E008F">
        <w:rPr>
          <w:rFonts w:ascii="Times New Roman" w:hAnsi="Times New Roman" w:cs="Times New Roman"/>
          <w:sz w:val="20"/>
          <w:szCs w:val="20"/>
        </w:rPr>
        <w:t xml:space="preserve"> </w:t>
      </w:r>
      <w:r w:rsidRPr="008E008F">
        <w:rPr>
          <w:rFonts w:ascii="Times New Roman" w:hAnsi="Times New Roman" w:cs="Times New Roman"/>
          <w:i/>
          <w:sz w:val="20"/>
          <w:szCs w:val="20"/>
        </w:rPr>
        <w:t>Le dumping des céréales, viandes et produits laitiers de l'UE en 2012, notamment vers les pays ACP</w:t>
      </w:r>
      <w:r w:rsidRPr="008E008F">
        <w:rPr>
          <w:rFonts w:ascii="Times New Roman" w:hAnsi="Times New Roman" w:cs="Times New Roman"/>
          <w:sz w:val="20"/>
          <w:szCs w:val="20"/>
        </w:rPr>
        <w:t>, Solidarité, 5 mars 2014, http://www.solidarite.asso.fr/Articles-de-2014,684</w:t>
      </w:r>
    </w:p>
  </w:footnote>
  <w:footnote w:id="10">
    <w:p w:rsidR="00F608E6" w:rsidRPr="006E6C9F" w:rsidRDefault="00F608E6" w:rsidP="006E6C9F">
      <w:pPr>
        <w:spacing w:after="0" w:line="240" w:lineRule="auto"/>
        <w:jc w:val="both"/>
        <w:rPr>
          <w:rFonts w:ascii="Times New Roman" w:hAnsi="Times New Roman" w:cs="Times New Roman"/>
          <w:sz w:val="20"/>
          <w:szCs w:val="20"/>
        </w:rPr>
      </w:pPr>
      <w:r w:rsidRPr="006E6C9F">
        <w:rPr>
          <w:rStyle w:val="Appelnotedebasdep"/>
          <w:rFonts w:ascii="Times New Roman" w:hAnsi="Times New Roman" w:cs="Times New Roman"/>
          <w:sz w:val="20"/>
          <w:szCs w:val="20"/>
        </w:rPr>
        <w:footnoteRef/>
      </w:r>
      <w:r w:rsidRPr="006E6C9F">
        <w:rPr>
          <w:rFonts w:ascii="Times New Roman" w:hAnsi="Times New Roman" w:cs="Times New Roman"/>
          <w:sz w:val="20"/>
          <w:szCs w:val="20"/>
        </w:rPr>
        <w:t xml:space="preserve"> </w:t>
      </w:r>
      <w:r w:rsidRPr="006E6C9F">
        <w:rPr>
          <w:rFonts w:ascii="Times New Roman" w:hAnsi="Times New Roman" w:cs="Times New Roman"/>
          <w:i/>
          <w:sz w:val="20"/>
          <w:szCs w:val="20"/>
        </w:rPr>
        <w:t>Les subventions de l'UE28 en 2013 aux exportations de céréales, viandes et produits laitiers extra-EU28, vers les pays ACP et l'Afrique de l'Ouest</w:t>
      </w:r>
      <w:r>
        <w:rPr>
          <w:rFonts w:ascii="Times New Roman" w:hAnsi="Times New Roman" w:cs="Times New Roman"/>
          <w:sz w:val="20"/>
          <w:szCs w:val="20"/>
        </w:rPr>
        <w:t xml:space="preserve">, Solidarité, 9 juillet 2014, </w:t>
      </w:r>
      <w:r w:rsidRPr="008E008F">
        <w:rPr>
          <w:rFonts w:ascii="Times New Roman" w:hAnsi="Times New Roman" w:cs="Times New Roman"/>
          <w:sz w:val="20"/>
          <w:szCs w:val="20"/>
        </w:rPr>
        <w:t>http://www.solidarite.asso.fr/Articles-de-2014,684</w:t>
      </w:r>
    </w:p>
  </w:footnote>
  <w:footnote w:id="11">
    <w:p w:rsidR="00F608E6" w:rsidRDefault="00F608E6" w:rsidP="00C56476">
      <w:pPr>
        <w:spacing w:after="0" w:line="240" w:lineRule="auto"/>
      </w:pPr>
      <w:r w:rsidRPr="00C56476">
        <w:rPr>
          <w:rStyle w:val="Appelnotedebasdep"/>
          <w:rFonts w:ascii="Times New Roman" w:hAnsi="Times New Roman" w:cs="Times New Roman"/>
          <w:sz w:val="20"/>
          <w:szCs w:val="20"/>
        </w:rPr>
        <w:footnoteRef/>
      </w:r>
      <w:r w:rsidRPr="00C56476">
        <w:rPr>
          <w:rFonts w:ascii="Times New Roman" w:hAnsi="Times New Roman" w:cs="Times New Roman"/>
          <w:sz w:val="20"/>
          <w:szCs w:val="20"/>
        </w:rPr>
        <w:t xml:space="preserve"> http://news.aouaga.com/h/17652.html</w:t>
      </w:r>
    </w:p>
  </w:footnote>
  <w:footnote w:id="12">
    <w:p w:rsidR="00F608E6" w:rsidRPr="0056092D" w:rsidRDefault="00F608E6">
      <w:pPr>
        <w:pStyle w:val="Notedebasdepage"/>
        <w:rPr>
          <w:rFonts w:ascii="Times New Roman" w:hAnsi="Times New Roman" w:cs="Times New Roman"/>
        </w:rPr>
      </w:pPr>
      <w:r w:rsidRPr="0056092D">
        <w:rPr>
          <w:rStyle w:val="Appelnotedebasdep"/>
          <w:rFonts w:ascii="Times New Roman" w:hAnsi="Times New Roman" w:cs="Times New Roman"/>
        </w:rPr>
        <w:footnoteRef/>
      </w:r>
      <w:r w:rsidRPr="0056092D">
        <w:rPr>
          <w:rFonts w:ascii="Times New Roman" w:hAnsi="Times New Roman" w:cs="Times New Roman"/>
        </w:rPr>
        <w:t xml:space="preserve"> J. Berthelot, </w:t>
      </w:r>
      <w:r w:rsidRPr="005743B7">
        <w:rPr>
          <w:rFonts w:ascii="Times New Roman" w:hAnsi="Times New Roman" w:cs="Times New Roman"/>
          <w:i/>
        </w:rPr>
        <w:t>Réguler les prix agricoles</w:t>
      </w:r>
      <w:r w:rsidRPr="0056092D">
        <w:rPr>
          <w:rFonts w:ascii="Times New Roman" w:hAnsi="Times New Roman" w:cs="Times New Roman"/>
        </w:rPr>
        <w:t>, l'Harmattan 2013 (voir le dernier chapitre).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33781"/>
      <w:docPartObj>
        <w:docPartGallery w:val="Page Numbers (Top of Page)"/>
        <w:docPartUnique/>
      </w:docPartObj>
    </w:sdtPr>
    <w:sdtEndPr/>
    <w:sdtContent>
      <w:p w:rsidR="007B3524" w:rsidRDefault="007B3524">
        <w:pPr>
          <w:pStyle w:val="En-tte"/>
          <w:jc w:val="right"/>
        </w:pPr>
        <w:r>
          <w:fldChar w:fldCharType="begin"/>
        </w:r>
        <w:r>
          <w:instrText>PAGE   \* MERGEFORMAT</w:instrText>
        </w:r>
        <w:r>
          <w:fldChar w:fldCharType="separate"/>
        </w:r>
        <w:r w:rsidR="003B2B90">
          <w:rPr>
            <w:noProof/>
          </w:rPr>
          <w:t>1</w:t>
        </w:r>
        <w:r>
          <w:fldChar w:fldCharType="end"/>
        </w:r>
      </w:p>
    </w:sdtContent>
  </w:sdt>
  <w:p w:rsidR="007B3524" w:rsidRDefault="007B35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8434B"/>
    <w:multiLevelType w:val="hybridMultilevel"/>
    <w:tmpl w:val="07663932"/>
    <w:lvl w:ilvl="0" w:tplc="BC6C0EC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C4667E"/>
    <w:multiLevelType w:val="hybridMultilevel"/>
    <w:tmpl w:val="90A8E5E4"/>
    <w:lvl w:ilvl="0" w:tplc="52E47220">
      <w:start w:val="100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8C5D04"/>
    <w:multiLevelType w:val="hybridMultilevel"/>
    <w:tmpl w:val="7706A8F2"/>
    <w:lvl w:ilvl="0" w:tplc="C162747E">
      <w:start w:val="1"/>
      <w:numFmt w:val="decimal"/>
      <w:lvlText w:val="%1)"/>
      <w:lvlJc w:val="left"/>
      <w:pPr>
        <w:tabs>
          <w:tab w:val="num" w:pos="720"/>
        </w:tabs>
        <w:ind w:left="720" w:hanging="360"/>
      </w:pPr>
    </w:lvl>
    <w:lvl w:ilvl="1" w:tplc="75CC9AC2" w:tentative="1">
      <w:start w:val="1"/>
      <w:numFmt w:val="decimal"/>
      <w:lvlText w:val="%2)"/>
      <w:lvlJc w:val="left"/>
      <w:pPr>
        <w:tabs>
          <w:tab w:val="num" w:pos="1440"/>
        </w:tabs>
        <w:ind w:left="1440" w:hanging="360"/>
      </w:pPr>
    </w:lvl>
    <w:lvl w:ilvl="2" w:tplc="9A66C8DA" w:tentative="1">
      <w:start w:val="1"/>
      <w:numFmt w:val="decimal"/>
      <w:lvlText w:val="%3)"/>
      <w:lvlJc w:val="left"/>
      <w:pPr>
        <w:tabs>
          <w:tab w:val="num" w:pos="2160"/>
        </w:tabs>
        <w:ind w:left="2160" w:hanging="360"/>
      </w:pPr>
    </w:lvl>
    <w:lvl w:ilvl="3" w:tplc="DA6CD9BA" w:tentative="1">
      <w:start w:val="1"/>
      <w:numFmt w:val="decimal"/>
      <w:lvlText w:val="%4)"/>
      <w:lvlJc w:val="left"/>
      <w:pPr>
        <w:tabs>
          <w:tab w:val="num" w:pos="2880"/>
        </w:tabs>
        <w:ind w:left="2880" w:hanging="360"/>
      </w:pPr>
    </w:lvl>
    <w:lvl w:ilvl="4" w:tplc="2E7CB72A" w:tentative="1">
      <w:start w:val="1"/>
      <w:numFmt w:val="decimal"/>
      <w:lvlText w:val="%5)"/>
      <w:lvlJc w:val="left"/>
      <w:pPr>
        <w:tabs>
          <w:tab w:val="num" w:pos="3600"/>
        </w:tabs>
        <w:ind w:left="3600" w:hanging="360"/>
      </w:pPr>
    </w:lvl>
    <w:lvl w:ilvl="5" w:tplc="49BC3B10" w:tentative="1">
      <w:start w:val="1"/>
      <w:numFmt w:val="decimal"/>
      <w:lvlText w:val="%6)"/>
      <w:lvlJc w:val="left"/>
      <w:pPr>
        <w:tabs>
          <w:tab w:val="num" w:pos="4320"/>
        </w:tabs>
        <w:ind w:left="4320" w:hanging="360"/>
      </w:pPr>
    </w:lvl>
    <w:lvl w:ilvl="6" w:tplc="4BFA35FA" w:tentative="1">
      <w:start w:val="1"/>
      <w:numFmt w:val="decimal"/>
      <w:lvlText w:val="%7)"/>
      <w:lvlJc w:val="left"/>
      <w:pPr>
        <w:tabs>
          <w:tab w:val="num" w:pos="5040"/>
        </w:tabs>
        <w:ind w:left="5040" w:hanging="360"/>
      </w:pPr>
    </w:lvl>
    <w:lvl w:ilvl="7" w:tplc="3954A4AA" w:tentative="1">
      <w:start w:val="1"/>
      <w:numFmt w:val="decimal"/>
      <w:lvlText w:val="%8)"/>
      <w:lvlJc w:val="left"/>
      <w:pPr>
        <w:tabs>
          <w:tab w:val="num" w:pos="5760"/>
        </w:tabs>
        <w:ind w:left="5760" w:hanging="360"/>
      </w:pPr>
    </w:lvl>
    <w:lvl w:ilvl="8" w:tplc="AEB03708" w:tentative="1">
      <w:start w:val="1"/>
      <w:numFmt w:val="decimal"/>
      <w:lvlText w:val="%9)"/>
      <w:lvlJc w:val="left"/>
      <w:pPr>
        <w:tabs>
          <w:tab w:val="num" w:pos="6480"/>
        </w:tabs>
        <w:ind w:left="6480" w:hanging="360"/>
      </w:pPr>
    </w:lvl>
  </w:abstractNum>
  <w:abstractNum w:abstractNumId="3">
    <w:nsid w:val="4CAF2CF9"/>
    <w:multiLevelType w:val="hybridMultilevel"/>
    <w:tmpl w:val="A790AC7A"/>
    <w:lvl w:ilvl="0" w:tplc="A0B2461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B35685"/>
    <w:multiLevelType w:val="hybridMultilevel"/>
    <w:tmpl w:val="7B0CDC26"/>
    <w:lvl w:ilvl="0" w:tplc="7212AD6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8B"/>
    <w:rsid w:val="00002E9D"/>
    <w:rsid w:val="000615B3"/>
    <w:rsid w:val="00087931"/>
    <w:rsid w:val="000B3BD0"/>
    <w:rsid w:val="00145514"/>
    <w:rsid w:val="00156078"/>
    <w:rsid w:val="00191F71"/>
    <w:rsid w:val="00214021"/>
    <w:rsid w:val="00244CC4"/>
    <w:rsid w:val="002804BC"/>
    <w:rsid w:val="002976E2"/>
    <w:rsid w:val="002B6A15"/>
    <w:rsid w:val="002E24FD"/>
    <w:rsid w:val="002F4727"/>
    <w:rsid w:val="003441D3"/>
    <w:rsid w:val="00346962"/>
    <w:rsid w:val="003512DB"/>
    <w:rsid w:val="00356626"/>
    <w:rsid w:val="00357521"/>
    <w:rsid w:val="00365A65"/>
    <w:rsid w:val="00383531"/>
    <w:rsid w:val="0039242A"/>
    <w:rsid w:val="003A0B68"/>
    <w:rsid w:val="003A708F"/>
    <w:rsid w:val="003B2B90"/>
    <w:rsid w:val="003C3AE9"/>
    <w:rsid w:val="003E5C2A"/>
    <w:rsid w:val="0040510C"/>
    <w:rsid w:val="0040793D"/>
    <w:rsid w:val="004156A3"/>
    <w:rsid w:val="004210DE"/>
    <w:rsid w:val="00422CA0"/>
    <w:rsid w:val="00424E44"/>
    <w:rsid w:val="004373D7"/>
    <w:rsid w:val="0049489A"/>
    <w:rsid w:val="004B0EE7"/>
    <w:rsid w:val="004F09A1"/>
    <w:rsid w:val="0051226C"/>
    <w:rsid w:val="00516019"/>
    <w:rsid w:val="0053175D"/>
    <w:rsid w:val="00532ED4"/>
    <w:rsid w:val="00535C84"/>
    <w:rsid w:val="00535DA7"/>
    <w:rsid w:val="00552C1B"/>
    <w:rsid w:val="0056092D"/>
    <w:rsid w:val="005743B7"/>
    <w:rsid w:val="005A0354"/>
    <w:rsid w:val="005B61DF"/>
    <w:rsid w:val="005C51CF"/>
    <w:rsid w:val="005D05BD"/>
    <w:rsid w:val="005D73DD"/>
    <w:rsid w:val="005F2731"/>
    <w:rsid w:val="006124D4"/>
    <w:rsid w:val="00625511"/>
    <w:rsid w:val="0063250B"/>
    <w:rsid w:val="00665F68"/>
    <w:rsid w:val="00697568"/>
    <w:rsid w:val="00697E2D"/>
    <w:rsid w:val="006A20DA"/>
    <w:rsid w:val="006B6EC6"/>
    <w:rsid w:val="006C48B5"/>
    <w:rsid w:val="006D2213"/>
    <w:rsid w:val="006D7EE1"/>
    <w:rsid w:val="006E6C9F"/>
    <w:rsid w:val="007073C4"/>
    <w:rsid w:val="00724465"/>
    <w:rsid w:val="00742046"/>
    <w:rsid w:val="00750FD5"/>
    <w:rsid w:val="00763807"/>
    <w:rsid w:val="007B3524"/>
    <w:rsid w:val="007C7E1C"/>
    <w:rsid w:val="00820538"/>
    <w:rsid w:val="008266AB"/>
    <w:rsid w:val="00827E8E"/>
    <w:rsid w:val="00836158"/>
    <w:rsid w:val="008449A4"/>
    <w:rsid w:val="008514D9"/>
    <w:rsid w:val="00852B0D"/>
    <w:rsid w:val="00857C6F"/>
    <w:rsid w:val="00883D68"/>
    <w:rsid w:val="008C0589"/>
    <w:rsid w:val="008E008F"/>
    <w:rsid w:val="0090229E"/>
    <w:rsid w:val="00904E16"/>
    <w:rsid w:val="009E27E7"/>
    <w:rsid w:val="00A549E8"/>
    <w:rsid w:val="00A6390C"/>
    <w:rsid w:val="00AB6BA7"/>
    <w:rsid w:val="00AD01C9"/>
    <w:rsid w:val="00B2079E"/>
    <w:rsid w:val="00B51C88"/>
    <w:rsid w:val="00B90895"/>
    <w:rsid w:val="00B92B2C"/>
    <w:rsid w:val="00B934CF"/>
    <w:rsid w:val="00B97153"/>
    <w:rsid w:val="00BB43B0"/>
    <w:rsid w:val="00BE1B81"/>
    <w:rsid w:val="00C00A74"/>
    <w:rsid w:val="00C01314"/>
    <w:rsid w:val="00C56476"/>
    <w:rsid w:val="00C666DA"/>
    <w:rsid w:val="00C82E83"/>
    <w:rsid w:val="00CA3562"/>
    <w:rsid w:val="00CC1FC8"/>
    <w:rsid w:val="00CD29A1"/>
    <w:rsid w:val="00D03E44"/>
    <w:rsid w:val="00D27D8C"/>
    <w:rsid w:val="00D36D9B"/>
    <w:rsid w:val="00D608CA"/>
    <w:rsid w:val="00D60A4E"/>
    <w:rsid w:val="00D6545C"/>
    <w:rsid w:val="00D71FD5"/>
    <w:rsid w:val="00D74F3D"/>
    <w:rsid w:val="00DB18DB"/>
    <w:rsid w:val="00DC1C8B"/>
    <w:rsid w:val="00DE405A"/>
    <w:rsid w:val="00DF07A8"/>
    <w:rsid w:val="00DF1F4E"/>
    <w:rsid w:val="00DF4C05"/>
    <w:rsid w:val="00DF7E02"/>
    <w:rsid w:val="00E52CAE"/>
    <w:rsid w:val="00E63A48"/>
    <w:rsid w:val="00EB38AD"/>
    <w:rsid w:val="00EE7885"/>
    <w:rsid w:val="00EF054F"/>
    <w:rsid w:val="00EF3F40"/>
    <w:rsid w:val="00F057B6"/>
    <w:rsid w:val="00F1016C"/>
    <w:rsid w:val="00F42B4D"/>
    <w:rsid w:val="00F53E53"/>
    <w:rsid w:val="00F608E6"/>
    <w:rsid w:val="00F639C0"/>
    <w:rsid w:val="00F91F97"/>
    <w:rsid w:val="00FA16A9"/>
    <w:rsid w:val="00FA26AC"/>
    <w:rsid w:val="00FA4122"/>
    <w:rsid w:val="00FA6BFB"/>
    <w:rsid w:val="00FA7CB2"/>
    <w:rsid w:val="00FF0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8B762-51B0-4E69-B60A-370690B6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C84"/>
  </w:style>
  <w:style w:type="paragraph" w:styleId="Titre5">
    <w:name w:val="heading 5"/>
    <w:aliases w:val="Heading 5 Char"/>
    <w:basedOn w:val="Normal"/>
    <w:next w:val="Corpsdetexte"/>
    <w:link w:val="Titre5Car"/>
    <w:qFormat/>
    <w:rsid w:val="008E008F"/>
    <w:pPr>
      <w:tabs>
        <w:tab w:val="num" w:pos="3600"/>
      </w:tabs>
      <w:spacing w:after="360" w:line="240" w:lineRule="auto"/>
      <w:ind w:left="3600" w:hanging="720"/>
      <w:jc w:val="both"/>
      <w:outlineLvl w:val="4"/>
    </w:pPr>
    <w:rPr>
      <w:rFonts w:ascii="Times New Roman" w:eastAsia="Times New Roman" w:hAnsi="Times New Roman" w:cs="Times New Roman"/>
      <w:i/>
      <w:iCs/>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nualNumPar1">
    <w:name w:val="Manual NumPar 1"/>
    <w:basedOn w:val="Normal"/>
    <w:next w:val="Normal"/>
    <w:rsid w:val="00D60A4E"/>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Titrearticle">
    <w:name w:val="Titre article"/>
    <w:basedOn w:val="Normal"/>
    <w:next w:val="Normal"/>
    <w:rsid w:val="00D60A4E"/>
    <w:pPr>
      <w:keepNext/>
      <w:spacing w:before="360" w:after="120" w:line="240" w:lineRule="auto"/>
      <w:jc w:val="center"/>
    </w:pPr>
    <w:rPr>
      <w:rFonts w:ascii="Times New Roman" w:eastAsia="Calibri" w:hAnsi="Times New Roman" w:cs="Times New Roman"/>
      <w:i/>
      <w:sz w:val="24"/>
      <w:lang w:val="en-GB" w:eastAsia="en-GB"/>
    </w:rPr>
  </w:style>
  <w:style w:type="paragraph" w:styleId="Paragraphedeliste">
    <w:name w:val="List Paragraph"/>
    <w:basedOn w:val="Normal"/>
    <w:uiPriority w:val="34"/>
    <w:qFormat/>
    <w:rsid w:val="00365A65"/>
    <w:pPr>
      <w:ind w:left="720"/>
      <w:contextualSpacing/>
    </w:pPr>
  </w:style>
  <w:style w:type="paragraph" w:customStyle="1" w:styleId="Point1">
    <w:name w:val="Point 1"/>
    <w:basedOn w:val="Normal"/>
    <w:rsid w:val="00145514"/>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Annexetitre">
    <w:name w:val="Annexe titre"/>
    <w:basedOn w:val="Normal"/>
    <w:next w:val="Normal"/>
    <w:rsid w:val="0051226C"/>
    <w:pPr>
      <w:spacing w:before="120" w:after="120" w:line="240" w:lineRule="auto"/>
      <w:jc w:val="center"/>
    </w:pPr>
    <w:rPr>
      <w:rFonts w:ascii="Times New Roman" w:eastAsia="Calibri" w:hAnsi="Times New Roman" w:cs="Times New Roman"/>
      <w:b/>
      <w:sz w:val="24"/>
      <w:u w:val="single"/>
      <w:lang w:val="en-GB" w:eastAsia="en-GB"/>
    </w:rPr>
  </w:style>
  <w:style w:type="paragraph" w:styleId="Notedebasdepage">
    <w:name w:val="footnote text"/>
    <w:aliases w:val="Footnote Text Char,Footnote Text Char1,Footnote Text Char Char3 Char,Footnote Text Char2 Char1 Char Char,Footnote Text Char Char Char1 Char Char,Footnote Text Char1 Char1 Char Char Char,Footnote Text Char2 Car Car Car, Car,fn,Car"/>
    <w:basedOn w:val="Normal"/>
    <w:link w:val="NotedebasdepageCar"/>
    <w:unhideWhenUsed/>
    <w:rsid w:val="00532ED4"/>
    <w:pPr>
      <w:spacing w:after="0" w:line="240" w:lineRule="auto"/>
    </w:pPr>
    <w:rPr>
      <w:sz w:val="20"/>
      <w:szCs w:val="20"/>
    </w:rPr>
  </w:style>
  <w:style w:type="character" w:customStyle="1" w:styleId="NotedebasdepageCar">
    <w:name w:val="Note de bas de page Car"/>
    <w:aliases w:val="Footnote Text Char Car,Footnote Text Char1 Car,Footnote Text Char Char3 Char Car,Footnote Text Char2 Char1 Char Char Car,Footnote Text Char Char Char1 Char Char Car,Footnote Text Char1 Char1 Char Char Char Car, Car Car,fn Car"/>
    <w:basedOn w:val="Policepardfaut"/>
    <w:link w:val="Notedebasdepage"/>
    <w:rsid w:val="00532ED4"/>
    <w:rPr>
      <w:sz w:val="20"/>
      <w:szCs w:val="20"/>
    </w:rPr>
  </w:style>
  <w:style w:type="character" w:styleId="Appelnotedebasdep">
    <w:name w:val="footnote reference"/>
    <w:aliases w:val="Ref,de nota al pie,Footnote Reference"/>
    <w:basedOn w:val="Policepardfaut"/>
    <w:unhideWhenUsed/>
    <w:rsid w:val="00532ED4"/>
    <w:rPr>
      <w:vertAlign w:val="superscript"/>
    </w:rPr>
  </w:style>
  <w:style w:type="paragraph" w:customStyle="1" w:styleId="Point0">
    <w:name w:val="Point 0"/>
    <w:basedOn w:val="Normal"/>
    <w:rsid w:val="000615B3"/>
    <w:pPr>
      <w:spacing w:before="120" w:after="120" w:line="240" w:lineRule="auto"/>
      <w:ind w:left="850" w:hanging="850"/>
      <w:jc w:val="both"/>
    </w:pPr>
    <w:rPr>
      <w:rFonts w:ascii="Times New Roman" w:eastAsia="Calibri" w:hAnsi="Times New Roman" w:cs="Times New Roman"/>
      <w:sz w:val="24"/>
      <w:lang w:val="en-GB" w:eastAsia="en-GB"/>
    </w:rPr>
  </w:style>
  <w:style w:type="paragraph" w:styleId="NormalWeb">
    <w:name w:val="Normal (Web)"/>
    <w:basedOn w:val="Normal"/>
    <w:uiPriority w:val="99"/>
    <w:semiHidden/>
    <w:unhideWhenUsed/>
    <w:rsid w:val="002F47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608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08CA"/>
    <w:rPr>
      <w:rFonts w:ascii="Tahoma" w:hAnsi="Tahoma" w:cs="Tahoma"/>
      <w:sz w:val="16"/>
      <w:szCs w:val="16"/>
    </w:rPr>
  </w:style>
  <w:style w:type="paragraph" w:styleId="En-tte">
    <w:name w:val="header"/>
    <w:basedOn w:val="Normal"/>
    <w:link w:val="En-tteCar"/>
    <w:uiPriority w:val="99"/>
    <w:unhideWhenUsed/>
    <w:rsid w:val="00D608CA"/>
    <w:pPr>
      <w:tabs>
        <w:tab w:val="center" w:pos="4536"/>
        <w:tab w:val="right" w:pos="9072"/>
      </w:tabs>
      <w:spacing w:after="0" w:line="240" w:lineRule="auto"/>
    </w:pPr>
  </w:style>
  <w:style w:type="character" w:customStyle="1" w:styleId="En-tteCar">
    <w:name w:val="En-tête Car"/>
    <w:basedOn w:val="Policepardfaut"/>
    <w:link w:val="En-tte"/>
    <w:uiPriority w:val="99"/>
    <w:rsid w:val="00D608CA"/>
  </w:style>
  <w:style w:type="paragraph" w:styleId="Pieddepage">
    <w:name w:val="footer"/>
    <w:basedOn w:val="Normal"/>
    <w:link w:val="PieddepageCar"/>
    <w:uiPriority w:val="99"/>
    <w:unhideWhenUsed/>
    <w:rsid w:val="00D60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08CA"/>
  </w:style>
  <w:style w:type="character" w:styleId="Lienhypertexte">
    <w:name w:val="Hyperlink"/>
    <w:basedOn w:val="Policepardfaut"/>
    <w:uiPriority w:val="99"/>
    <w:unhideWhenUsed/>
    <w:rsid w:val="006C48B5"/>
    <w:rPr>
      <w:color w:val="0000FF" w:themeColor="hyperlink"/>
      <w:u w:val="single"/>
    </w:rPr>
  </w:style>
  <w:style w:type="character" w:customStyle="1" w:styleId="hps">
    <w:name w:val="hps"/>
    <w:basedOn w:val="Policepardfaut"/>
    <w:rsid w:val="008449A4"/>
  </w:style>
  <w:style w:type="character" w:customStyle="1" w:styleId="Titre5Car">
    <w:name w:val="Titre 5 Car"/>
    <w:aliases w:val="Heading 5 Char Car"/>
    <w:basedOn w:val="Policepardfaut"/>
    <w:link w:val="Titre5"/>
    <w:rsid w:val="008E008F"/>
    <w:rPr>
      <w:rFonts w:ascii="Times New Roman" w:eastAsia="Times New Roman" w:hAnsi="Times New Roman" w:cs="Times New Roman"/>
      <w:i/>
      <w:iCs/>
      <w:lang w:val="en-GB" w:eastAsia="fr-FR"/>
    </w:rPr>
  </w:style>
  <w:style w:type="paragraph" w:styleId="Corpsdetexte">
    <w:name w:val="Body Text"/>
    <w:basedOn w:val="Normal"/>
    <w:link w:val="CorpsdetexteCar"/>
    <w:uiPriority w:val="99"/>
    <w:semiHidden/>
    <w:unhideWhenUsed/>
    <w:rsid w:val="008E008F"/>
    <w:pPr>
      <w:spacing w:after="120"/>
    </w:pPr>
  </w:style>
  <w:style w:type="character" w:customStyle="1" w:styleId="CorpsdetexteCar">
    <w:name w:val="Corps de texte Car"/>
    <w:basedOn w:val="Policepardfaut"/>
    <w:link w:val="Corpsdetexte"/>
    <w:uiPriority w:val="99"/>
    <w:semiHidden/>
    <w:rsid w:val="008E008F"/>
  </w:style>
  <w:style w:type="table" w:styleId="Grilledutableau">
    <w:name w:val="Table Grid"/>
    <w:basedOn w:val="TableauNormal"/>
    <w:uiPriority w:val="59"/>
    <w:rsid w:val="006D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s">
    <w:name w:val="Number Paras"/>
    <w:basedOn w:val="Normal"/>
    <w:rsid w:val="002B6A1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I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6876">
      <w:bodyDiv w:val="1"/>
      <w:marLeft w:val="0"/>
      <w:marRight w:val="0"/>
      <w:marTop w:val="0"/>
      <w:marBottom w:val="0"/>
      <w:divBdr>
        <w:top w:val="none" w:sz="0" w:space="0" w:color="auto"/>
        <w:left w:val="none" w:sz="0" w:space="0" w:color="auto"/>
        <w:bottom w:val="none" w:sz="0" w:space="0" w:color="auto"/>
        <w:right w:val="none" w:sz="0" w:space="0" w:color="auto"/>
      </w:divBdr>
      <w:divsChild>
        <w:div w:id="1823499347">
          <w:marLeft w:val="0"/>
          <w:marRight w:val="0"/>
          <w:marTop w:val="0"/>
          <w:marBottom w:val="0"/>
          <w:divBdr>
            <w:top w:val="none" w:sz="0" w:space="0" w:color="auto"/>
            <w:left w:val="none" w:sz="0" w:space="0" w:color="auto"/>
            <w:bottom w:val="none" w:sz="0" w:space="0" w:color="auto"/>
            <w:right w:val="none" w:sz="0" w:space="0" w:color="auto"/>
          </w:divBdr>
        </w:div>
        <w:div w:id="2001618125">
          <w:marLeft w:val="0"/>
          <w:marRight w:val="0"/>
          <w:marTop w:val="0"/>
          <w:marBottom w:val="0"/>
          <w:divBdr>
            <w:top w:val="none" w:sz="0" w:space="0" w:color="auto"/>
            <w:left w:val="none" w:sz="0" w:space="0" w:color="auto"/>
            <w:bottom w:val="none" w:sz="0" w:space="0" w:color="auto"/>
            <w:right w:val="none" w:sz="0" w:space="0" w:color="auto"/>
          </w:divBdr>
        </w:div>
      </w:divsChild>
    </w:div>
    <w:div w:id="104542640">
      <w:bodyDiv w:val="1"/>
      <w:marLeft w:val="0"/>
      <w:marRight w:val="0"/>
      <w:marTop w:val="0"/>
      <w:marBottom w:val="0"/>
      <w:divBdr>
        <w:top w:val="none" w:sz="0" w:space="0" w:color="auto"/>
        <w:left w:val="none" w:sz="0" w:space="0" w:color="auto"/>
        <w:bottom w:val="none" w:sz="0" w:space="0" w:color="auto"/>
        <w:right w:val="none" w:sz="0" w:space="0" w:color="auto"/>
      </w:divBdr>
    </w:div>
    <w:div w:id="152642833">
      <w:bodyDiv w:val="1"/>
      <w:marLeft w:val="0"/>
      <w:marRight w:val="0"/>
      <w:marTop w:val="0"/>
      <w:marBottom w:val="0"/>
      <w:divBdr>
        <w:top w:val="none" w:sz="0" w:space="0" w:color="auto"/>
        <w:left w:val="none" w:sz="0" w:space="0" w:color="auto"/>
        <w:bottom w:val="none" w:sz="0" w:space="0" w:color="auto"/>
        <w:right w:val="none" w:sz="0" w:space="0" w:color="auto"/>
      </w:divBdr>
    </w:div>
    <w:div w:id="282540855">
      <w:bodyDiv w:val="1"/>
      <w:marLeft w:val="0"/>
      <w:marRight w:val="0"/>
      <w:marTop w:val="0"/>
      <w:marBottom w:val="0"/>
      <w:divBdr>
        <w:top w:val="none" w:sz="0" w:space="0" w:color="auto"/>
        <w:left w:val="none" w:sz="0" w:space="0" w:color="auto"/>
        <w:bottom w:val="none" w:sz="0" w:space="0" w:color="auto"/>
        <w:right w:val="none" w:sz="0" w:space="0" w:color="auto"/>
      </w:divBdr>
      <w:divsChild>
        <w:div w:id="2033993009">
          <w:marLeft w:val="0"/>
          <w:marRight w:val="0"/>
          <w:marTop w:val="0"/>
          <w:marBottom w:val="0"/>
          <w:divBdr>
            <w:top w:val="none" w:sz="0" w:space="0" w:color="auto"/>
            <w:left w:val="none" w:sz="0" w:space="0" w:color="auto"/>
            <w:bottom w:val="none" w:sz="0" w:space="0" w:color="auto"/>
            <w:right w:val="none" w:sz="0" w:space="0" w:color="auto"/>
          </w:divBdr>
          <w:divsChild>
            <w:div w:id="17880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5926">
      <w:bodyDiv w:val="1"/>
      <w:marLeft w:val="0"/>
      <w:marRight w:val="0"/>
      <w:marTop w:val="0"/>
      <w:marBottom w:val="0"/>
      <w:divBdr>
        <w:top w:val="none" w:sz="0" w:space="0" w:color="auto"/>
        <w:left w:val="none" w:sz="0" w:space="0" w:color="auto"/>
        <w:bottom w:val="none" w:sz="0" w:space="0" w:color="auto"/>
        <w:right w:val="none" w:sz="0" w:space="0" w:color="auto"/>
      </w:divBdr>
      <w:divsChild>
        <w:div w:id="134879047">
          <w:marLeft w:val="0"/>
          <w:marRight w:val="0"/>
          <w:marTop w:val="0"/>
          <w:marBottom w:val="0"/>
          <w:divBdr>
            <w:top w:val="none" w:sz="0" w:space="0" w:color="auto"/>
            <w:left w:val="none" w:sz="0" w:space="0" w:color="auto"/>
            <w:bottom w:val="none" w:sz="0" w:space="0" w:color="auto"/>
            <w:right w:val="none" w:sz="0" w:space="0" w:color="auto"/>
          </w:divBdr>
          <w:divsChild>
            <w:div w:id="359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1450">
      <w:bodyDiv w:val="1"/>
      <w:marLeft w:val="0"/>
      <w:marRight w:val="0"/>
      <w:marTop w:val="0"/>
      <w:marBottom w:val="0"/>
      <w:divBdr>
        <w:top w:val="none" w:sz="0" w:space="0" w:color="auto"/>
        <w:left w:val="none" w:sz="0" w:space="0" w:color="auto"/>
        <w:bottom w:val="none" w:sz="0" w:space="0" w:color="auto"/>
        <w:right w:val="none" w:sz="0" w:space="0" w:color="auto"/>
      </w:divBdr>
    </w:div>
    <w:div w:id="5178931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313">
          <w:marLeft w:val="0"/>
          <w:marRight w:val="0"/>
          <w:marTop w:val="0"/>
          <w:marBottom w:val="0"/>
          <w:divBdr>
            <w:top w:val="none" w:sz="0" w:space="0" w:color="auto"/>
            <w:left w:val="none" w:sz="0" w:space="0" w:color="auto"/>
            <w:bottom w:val="none" w:sz="0" w:space="0" w:color="auto"/>
            <w:right w:val="none" w:sz="0" w:space="0" w:color="auto"/>
          </w:divBdr>
          <w:divsChild>
            <w:div w:id="20837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832">
      <w:bodyDiv w:val="1"/>
      <w:marLeft w:val="0"/>
      <w:marRight w:val="0"/>
      <w:marTop w:val="0"/>
      <w:marBottom w:val="0"/>
      <w:divBdr>
        <w:top w:val="none" w:sz="0" w:space="0" w:color="auto"/>
        <w:left w:val="none" w:sz="0" w:space="0" w:color="auto"/>
        <w:bottom w:val="none" w:sz="0" w:space="0" w:color="auto"/>
        <w:right w:val="none" w:sz="0" w:space="0" w:color="auto"/>
      </w:divBdr>
      <w:divsChild>
        <w:div w:id="1666668878">
          <w:marLeft w:val="720"/>
          <w:marRight w:val="0"/>
          <w:marTop w:val="0"/>
          <w:marBottom w:val="0"/>
          <w:divBdr>
            <w:top w:val="none" w:sz="0" w:space="0" w:color="auto"/>
            <w:left w:val="none" w:sz="0" w:space="0" w:color="auto"/>
            <w:bottom w:val="none" w:sz="0" w:space="0" w:color="auto"/>
            <w:right w:val="none" w:sz="0" w:space="0" w:color="auto"/>
          </w:divBdr>
        </w:div>
      </w:divsChild>
    </w:div>
    <w:div w:id="828710151">
      <w:bodyDiv w:val="1"/>
      <w:marLeft w:val="0"/>
      <w:marRight w:val="0"/>
      <w:marTop w:val="0"/>
      <w:marBottom w:val="0"/>
      <w:divBdr>
        <w:top w:val="none" w:sz="0" w:space="0" w:color="auto"/>
        <w:left w:val="none" w:sz="0" w:space="0" w:color="auto"/>
        <w:bottom w:val="none" w:sz="0" w:space="0" w:color="auto"/>
        <w:right w:val="none" w:sz="0" w:space="0" w:color="auto"/>
      </w:divBdr>
    </w:div>
    <w:div w:id="849951629">
      <w:bodyDiv w:val="1"/>
      <w:marLeft w:val="0"/>
      <w:marRight w:val="0"/>
      <w:marTop w:val="0"/>
      <w:marBottom w:val="0"/>
      <w:divBdr>
        <w:top w:val="none" w:sz="0" w:space="0" w:color="auto"/>
        <w:left w:val="none" w:sz="0" w:space="0" w:color="auto"/>
        <w:bottom w:val="none" w:sz="0" w:space="0" w:color="auto"/>
        <w:right w:val="none" w:sz="0" w:space="0" w:color="auto"/>
      </w:divBdr>
    </w:div>
    <w:div w:id="974070053">
      <w:bodyDiv w:val="1"/>
      <w:marLeft w:val="0"/>
      <w:marRight w:val="0"/>
      <w:marTop w:val="0"/>
      <w:marBottom w:val="0"/>
      <w:divBdr>
        <w:top w:val="none" w:sz="0" w:space="0" w:color="auto"/>
        <w:left w:val="none" w:sz="0" w:space="0" w:color="auto"/>
        <w:bottom w:val="none" w:sz="0" w:space="0" w:color="auto"/>
        <w:right w:val="none" w:sz="0" w:space="0" w:color="auto"/>
      </w:divBdr>
      <w:divsChild>
        <w:div w:id="1255675820">
          <w:marLeft w:val="0"/>
          <w:marRight w:val="0"/>
          <w:marTop w:val="0"/>
          <w:marBottom w:val="0"/>
          <w:divBdr>
            <w:top w:val="none" w:sz="0" w:space="0" w:color="auto"/>
            <w:left w:val="none" w:sz="0" w:space="0" w:color="auto"/>
            <w:bottom w:val="none" w:sz="0" w:space="0" w:color="auto"/>
            <w:right w:val="none" w:sz="0" w:space="0" w:color="auto"/>
          </w:divBdr>
          <w:divsChild>
            <w:div w:id="18646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945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3">
          <w:marLeft w:val="0"/>
          <w:marRight w:val="0"/>
          <w:marTop w:val="0"/>
          <w:marBottom w:val="0"/>
          <w:divBdr>
            <w:top w:val="none" w:sz="0" w:space="0" w:color="auto"/>
            <w:left w:val="none" w:sz="0" w:space="0" w:color="auto"/>
            <w:bottom w:val="none" w:sz="0" w:space="0" w:color="auto"/>
            <w:right w:val="none" w:sz="0" w:space="0" w:color="auto"/>
          </w:divBdr>
          <w:divsChild>
            <w:div w:id="3773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4882">
      <w:bodyDiv w:val="1"/>
      <w:marLeft w:val="0"/>
      <w:marRight w:val="0"/>
      <w:marTop w:val="0"/>
      <w:marBottom w:val="0"/>
      <w:divBdr>
        <w:top w:val="none" w:sz="0" w:space="0" w:color="auto"/>
        <w:left w:val="none" w:sz="0" w:space="0" w:color="auto"/>
        <w:bottom w:val="none" w:sz="0" w:space="0" w:color="auto"/>
        <w:right w:val="none" w:sz="0" w:space="0" w:color="auto"/>
      </w:divBdr>
    </w:div>
    <w:div w:id="1380861383">
      <w:bodyDiv w:val="1"/>
      <w:marLeft w:val="0"/>
      <w:marRight w:val="0"/>
      <w:marTop w:val="0"/>
      <w:marBottom w:val="0"/>
      <w:divBdr>
        <w:top w:val="none" w:sz="0" w:space="0" w:color="auto"/>
        <w:left w:val="none" w:sz="0" w:space="0" w:color="auto"/>
        <w:bottom w:val="none" w:sz="0" w:space="0" w:color="auto"/>
        <w:right w:val="none" w:sz="0" w:space="0" w:color="auto"/>
      </w:divBdr>
      <w:divsChild>
        <w:div w:id="1044672080">
          <w:marLeft w:val="0"/>
          <w:marRight w:val="0"/>
          <w:marTop w:val="0"/>
          <w:marBottom w:val="0"/>
          <w:divBdr>
            <w:top w:val="none" w:sz="0" w:space="0" w:color="auto"/>
            <w:left w:val="none" w:sz="0" w:space="0" w:color="auto"/>
            <w:bottom w:val="none" w:sz="0" w:space="0" w:color="auto"/>
            <w:right w:val="none" w:sz="0" w:space="0" w:color="auto"/>
          </w:divBdr>
        </w:div>
        <w:div w:id="376852724">
          <w:marLeft w:val="0"/>
          <w:marRight w:val="0"/>
          <w:marTop w:val="0"/>
          <w:marBottom w:val="0"/>
          <w:divBdr>
            <w:top w:val="none" w:sz="0" w:space="0" w:color="auto"/>
            <w:left w:val="none" w:sz="0" w:space="0" w:color="auto"/>
            <w:bottom w:val="none" w:sz="0" w:space="0" w:color="auto"/>
            <w:right w:val="none" w:sz="0" w:space="0" w:color="auto"/>
          </w:divBdr>
        </w:div>
        <w:div w:id="1084717857">
          <w:marLeft w:val="0"/>
          <w:marRight w:val="0"/>
          <w:marTop w:val="0"/>
          <w:marBottom w:val="0"/>
          <w:divBdr>
            <w:top w:val="none" w:sz="0" w:space="0" w:color="auto"/>
            <w:left w:val="none" w:sz="0" w:space="0" w:color="auto"/>
            <w:bottom w:val="none" w:sz="0" w:space="0" w:color="auto"/>
            <w:right w:val="none" w:sz="0" w:space="0" w:color="auto"/>
          </w:divBdr>
        </w:div>
      </w:divsChild>
    </w:div>
    <w:div w:id="1460152164">
      <w:bodyDiv w:val="1"/>
      <w:marLeft w:val="0"/>
      <w:marRight w:val="0"/>
      <w:marTop w:val="0"/>
      <w:marBottom w:val="0"/>
      <w:divBdr>
        <w:top w:val="none" w:sz="0" w:space="0" w:color="auto"/>
        <w:left w:val="none" w:sz="0" w:space="0" w:color="auto"/>
        <w:bottom w:val="none" w:sz="0" w:space="0" w:color="auto"/>
        <w:right w:val="none" w:sz="0" w:space="0" w:color="auto"/>
      </w:divBdr>
    </w:div>
    <w:div w:id="1503011784">
      <w:bodyDiv w:val="1"/>
      <w:marLeft w:val="0"/>
      <w:marRight w:val="0"/>
      <w:marTop w:val="0"/>
      <w:marBottom w:val="0"/>
      <w:divBdr>
        <w:top w:val="none" w:sz="0" w:space="0" w:color="auto"/>
        <w:left w:val="none" w:sz="0" w:space="0" w:color="auto"/>
        <w:bottom w:val="none" w:sz="0" w:space="0" w:color="auto"/>
        <w:right w:val="none" w:sz="0" w:space="0" w:color="auto"/>
      </w:divBdr>
    </w:div>
    <w:div w:id="1579945621">
      <w:bodyDiv w:val="1"/>
      <w:marLeft w:val="0"/>
      <w:marRight w:val="0"/>
      <w:marTop w:val="0"/>
      <w:marBottom w:val="0"/>
      <w:divBdr>
        <w:top w:val="none" w:sz="0" w:space="0" w:color="auto"/>
        <w:left w:val="none" w:sz="0" w:space="0" w:color="auto"/>
        <w:bottom w:val="none" w:sz="0" w:space="0" w:color="auto"/>
        <w:right w:val="none" w:sz="0" w:space="0" w:color="auto"/>
      </w:divBdr>
      <w:divsChild>
        <w:div w:id="1382827169">
          <w:marLeft w:val="0"/>
          <w:marRight w:val="0"/>
          <w:marTop w:val="0"/>
          <w:marBottom w:val="0"/>
          <w:divBdr>
            <w:top w:val="none" w:sz="0" w:space="0" w:color="auto"/>
            <w:left w:val="none" w:sz="0" w:space="0" w:color="auto"/>
            <w:bottom w:val="none" w:sz="0" w:space="0" w:color="auto"/>
            <w:right w:val="none" w:sz="0" w:space="0" w:color="auto"/>
          </w:divBdr>
          <w:divsChild>
            <w:div w:id="20010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07106">
      <w:bodyDiv w:val="1"/>
      <w:marLeft w:val="0"/>
      <w:marRight w:val="0"/>
      <w:marTop w:val="0"/>
      <w:marBottom w:val="0"/>
      <w:divBdr>
        <w:top w:val="none" w:sz="0" w:space="0" w:color="auto"/>
        <w:left w:val="none" w:sz="0" w:space="0" w:color="auto"/>
        <w:bottom w:val="none" w:sz="0" w:space="0" w:color="auto"/>
        <w:right w:val="none" w:sz="0" w:space="0" w:color="auto"/>
      </w:divBdr>
      <w:divsChild>
        <w:div w:id="419715434">
          <w:marLeft w:val="0"/>
          <w:marRight w:val="0"/>
          <w:marTop w:val="0"/>
          <w:marBottom w:val="0"/>
          <w:divBdr>
            <w:top w:val="none" w:sz="0" w:space="0" w:color="auto"/>
            <w:left w:val="none" w:sz="0" w:space="0" w:color="auto"/>
            <w:bottom w:val="none" w:sz="0" w:space="0" w:color="auto"/>
            <w:right w:val="none" w:sz="0" w:space="0" w:color="auto"/>
          </w:divBdr>
          <w:divsChild>
            <w:div w:id="13635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3356">
      <w:bodyDiv w:val="1"/>
      <w:marLeft w:val="0"/>
      <w:marRight w:val="0"/>
      <w:marTop w:val="0"/>
      <w:marBottom w:val="0"/>
      <w:divBdr>
        <w:top w:val="none" w:sz="0" w:space="0" w:color="auto"/>
        <w:left w:val="none" w:sz="0" w:space="0" w:color="auto"/>
        <w:bottom w:val="none" w:sz="0" w:space="0" w:color="auto"/>
        <w:right w:val="none" w:sz="0" w:space="0" w:color="auto"/>
      </w:divBdr>
    </w:div>
    <w:div w:id="1681465400">
      <w:bodyDiv w:val="1"/>
      <w:marLeft w:val="0"/>
      <w:marRight w:val="0"/>
      <w:marTop w:val="0"/>
      <w:marBottom w:val="0"/>
      <w:divBdr>
        <w:top w:val="none" w:sz="0" w:space="0" w:color="auto"/>
        <w:left w:val="none" w:sz="0" w:space="0" w:color="auto"/>
        <w:bottom w:val="none" w:sz="0" w:space="0" w:color="auto"/>
        <w:right w:val="none" w:sz="0" w:space="0" w:color="auto"/>
      </w:divBdr>
      <w:divsChild>
        <w:div w:id="673655019">
          <w:marLeft w:val="0"/>
          <w:marRight w:val="0"/>
          <w:marTop w:val="0"/>
          <w:marBottom w:val="0"/>
          <w:divBdr>
            <w:top w:val="none" w:sz="0" w:space="0" w:color="auto"/>
            <w:left w:val="none" w:sz="0" w:space="0" w:color="auto"/>
            <w:bottom w:val="none" w:sz="0" w:space="0" w:color="auto"/>
            <w:right w:val="none" w:sz="0" w:space="0" w:color="auto"/>
          </w:divBdr>
          <w:divsChild>
            <w:div w:id="17014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631">
      <w:bodyDiv w:val="1"/>
      <w:marLeft w:val="0"/>
      <w:marRight w:val="0"/>
      <w:marTop w:val="0"/>
      <w:marBottom w:val="0"/>
      <w:divBdr>
        <w:top w:val="none" w:sz="0" w:space="0" w:color="auto"/>
        <w:left w:val="none" w:sz="0" w:space="0" w:color="auto"/>
        <w:bottom w:val="none" w:sz="0" w:space="0" w:color="auto"/>
        <w:right w:val="none" w:sz="0" w:space="0" w:color="auto"/>
      </w:divBdr>
      <w:divsChild>
        <w:div w:id="367220528">
          <w:marLeft w:val="0"/>
          <w:marRight w:val="0"/>
          <w:marTop w:val="0"/>
          <w:marBottom w:val="0"/>
          <w:divBdr>
            <w:top w:val="none" w:sz="0" w:space="0" w:color="auto"/>
            <w:left w:val="none" w:sz="0" w:space="0" w:color="auto"/>
            <w:bottom w:val="none" w:sz="0" w:space="0" w:color="auto"/>
            <w:right w:val="none" w:sz="0" w:space="0" w:color="auto"/>
          </w:divBdr>
          <w:divsChild>
            <w:div w:id="14076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5309">
      <w:bodyDiv w:val="1"/>
      <w:marLeft w:val="0"/>
      <w:marRight w:val="0"/>
      <w:marTop w:val="0"/>
      <w:marBottom w:val="0"/>
      <w:divBdr>
        <w:top w:val="none" w:sz="0" w:space="0" w:color="auto"/>
        <w:left w:val="none" w:sz="0" w:space="0" w:color="auto"/>
        <w:bottom w:val="none" w:sz="0" w:space="0" w:color="auto"/>
        <w:right w:val="none" w:sz="0" w:space="0" w:color="auto"/>
      </w:divBdr>
    </w:div>
    <w:div w:id="1874220868">
      <w:bodyDiv w:val="1"/>
      <w:marLeft w:val="0"/>
      <w:marRight w:val="0"/>
      <w:marTop w:val="0"/>
      <w:marBottom w:val="0"/>
      <w:divBdr>
        <w:top w:val="none" w:sz="0" w:space="0" w:color="auto"/>
        <w:left w:val="none" w:sz="0" w:space="0" w:color="auto"/>
        <w:bottom w:val="none" w:sz="0" w:space="0" w:color="auto"/>
        <w:right w:val="none" w:sz="0" w:space="0" w:color="auto"/>
      </w:divBdr>
    </w:div>
    <w:div w:id="1974939702">
      <w:bodyDiv w:val="1"/>
      <w:marLeft w:val="0"/>
      <w:marRight w:val="0"/>
      <w:marTop w:val="0"/>
      <w:marBottom w:val="0"/>
      <w:divBdr>
        <w:top w:val="none" w:sz="0" w:space="0" w:color="auto"/>
        <w:left w:val="none" w:sz="0" w:space="0" w:color="auto"/>
        <w:bottom w:val="none" w:sz="0" w:space="0" w:color="auto"/>
        <w:right w:val="none" w:sz="0" w:space="0" w:color="auto"/>
      </w:divBdr>
    </w:div>
    <w:div w:id="2094544324">
      <w:bodyDiv w:val="1"/>
      <w:marLeft w:val="0"/>
      <w:marRight w:val="0"/>
      <w:marTop w:val="0"/>
      <w:marBottom w:val="0"/>
      <w:divBdr>
        <w:top w:val="none" w:sz="0" w:space="0" w:color="auto"/>
        <w:left w:val="none" w:sz="0" w:space="0" w:color="auto"/>
        <w:bottom w:val="none" w:sz="0" w:space="0" w:color="auto"/>
        <w:right w:val="none" w:sz="0" w:space="0" w:color="auto"/>
      </w:divBdr>
    </w:div>
    <w:div w:id="2097821850">
      <w:bodyDiv w:val="1"/>
      <w:marLeft w:val="0"/>
      <w:marRight w:val="0"/>
      <w:marTop w:val="0"/>
      <w:marBottom w:val="0"/>
      <w:divBdr>
        <w:top w:val="none" w:sz="0" w:space="0" w:color="auto"/>
        <w:left w:val="none" w:sz="0" w:space="0" w:color="auto"/>
        <w:bottom w:val="none" w:sz="0" w:space="0" w:color="auto"/>
        <w:right w:val="none" w:sz="0" w:space="0" w:color="auto"/>
      </w:divBdr>
      <w:divsChild>
        <w:div w:id="655770071">
          <w:marLeft w:val="0"/>
          <w:marRight w:val="0"/>
          <w:marTop w:val="0"/>
          <w:marBottom w:val="0"/>
          <w:divBdr>
            <w:top w:val="none" w:sz="0" w:space="0" w:color="auto"/>
            <w:left w:val="none" w:sz="0" w:space="0" w:color="auto"/>
            <w:bottom w:val="none" w:sz="0" w:space="0" w:color="auto"/>
            <w:right w:val="none" w:sz="0" w:space="0" w:color="auto"/>
          </w:divBdr>
          <w:divsChild>
            <w:div w:id="16428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gadrey@univ-lille1.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lidarite.asso.fr/Articles-de-2014,684" TargetMode="External"/><Relationship Id="rId4" Type="http://schemas.openxmlformats.org/officeDocument/2006/relationships/settings" Target="settings.xml"/><Relationship Id="rId9" Type="http://schemas.openxmlformats.org/officeDocument/2006/relationships/hyperlink" Target="mailto:jacques.berthelot4@wanadoo.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med-agpol.iamm.fr/html/publications/prj_report/d13_rapport1_frenc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8C64-BA6E-4A91-BCD4-AFD3BAB9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5342</Words>
  <Characters>29387</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Berthelot</dc:creator>
  <cp:lastModifiedBy>SamirAmin</cp:lastModifiedBy>
  <cp:revision>6</cp:revision>
  <cp:lastPrinted>2014-09-22T16:17:00Z</cp:lastPrinted>
  <dcterms:created xsi:type="dcterms:W3CDTF">2015-05-07T09:49:00Z</dcterms:created>
  <dcterms:modified xsi:type="dcterms:W3CDTF">2015-05-07T10:46:00Z</dcterms:modified>
</cp:coreProperties>
</file>